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F98B" w14:textId="77777777" w:rsidR="00C306BA" w:rsidRDefault="00C306BA" w:rsidP="00C306B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092B729B" w14:textId="77777777" w:rsidR="00C306BA" w:rsidRDefault="00C306BA" w:rsidP="00C306B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07A3346A" w14:textId="0C72CBC5" w:rsidR="00C306BA" w:rsidRPr="009F1718" w:rsidRDefault="00C306BA" w:rsidP="00C306B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 w:rsidRPr="009F1718"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Eléments de Systémiques Sociales</w:t>
      </w: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 :</w:t>
      </w:r>
    </w:p>
    <w:p w14:paraId="0EF5B836" w14:textId="1E843375" w:rsidR="00C306BA" w:rsidRDefault="00C306BA" w:rsidP="00C306BA">
      <w:pPr>
        <w:jc w:val="center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  <w:t>Ressources mobilisées</w:t>
      </w:r>
    </w:p>
    <w:p w14:paraId="7285A75F" w14:textId="77777777" w:rsidR="00C306BA" w:rsidRDefault="00C306BA" w:rsidP="00C306BA">
      <w:pPr>
        <w:jc w:val="center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293CE6A8" w14:textId="77777777" w:rsidR="00C306BA" w:rsidRDefault="00C306BA" w:rsidP="00C306BA">
      <w:pPr>
        <w:jc w:val="center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</w:p>
    <w:p w14:paraId="32F398C1" w14:textId="397125A6" w:rsidR="00C306BA" w:rsidRDefault="00000000" w:rsidP="00C306BA">
      <w:pPr>
        <w:jc w:val="center"/>
        <w:rPr>
          <w:rFonts w:eastAsia="Times New Roman" w:cs="Times New Roman"/>
          <w:b/>
          <w:bCs/>
          <w:color w:val="215E99" w:themeColor="text2" w:themeTint="BF"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pict w14:anchorId="4365F4E7">
          <v:rect id="_x0000_i1025" style="width:0;height:1.5pt" o:hralign="center" o:hrstd="t" o:hr="t" fillcolor="#a0a0a0" stroked="f"/>
        </w:pict>
      </w:r>
    </w:p>
    <w:p w14:paraId="1842CD30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La rédaction de ce corpus d’éléments de systémique sociale s’est appuyée sur un large socle de ressources, à la fois théoriques, expérientielles et épistémologiques. Aucune vérité n’y est revendiquée ; seule la rigueur d’un regard lucide sur le vivant collectif en constitue le fil conducteur.</w:t>
      </w:r>
    </w:p>
    <w:p w14:paraId="55C6604F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1. Ressources théoriques et épistémiques</w:t>
      </w:r>
    </w:p>
    <w:p w14:paraId="3669A78B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Le travail s’inscrit dans la lignée d’une pensée complexe, relationnelle et transdisciplinaire, inspirée notamment par :</w:t>
      </w:r>
    </w:p>
    <w:p w14:paraId="32B05A66" w14:textId="77777777" w:rsid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Edgar Morin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pour la pensée de la </w:t>
      </w:r>
      <w:proofErr w:type="spellStart"/>
      <w:r w:rsidRPr="00C306BA">
        <w:rPr>
          <w:rFonts w:eastAsia="Times New Roman" w:cs="Times New Roman"/>
          <w:kern w:val="0"/>
          <w:lang w:eastAsia="fr-FR"/>
          <w14:ligatures w14:val="none"/>
        </w:rPr>
        <w:t>reliance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>, la compréhension des systèmes comme totalités vivantes, et l’appel à une éthique de la complexité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FD17689" w14:textId="77777777" w:rsidR="00C306BA" w:rsidRDefault="00C306BA" w:rsidP="00C306BA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7B6A1F84" w14:textId="77777777" w:rsid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Gregory Bateson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pour l’épistémologie des systèmes, les boucles de feedback, et l’écologie de l’esprit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147F833" w14:textId="77777777" w:rsidR="00C306BA" w:rsidRPr="00C306BA" w:rsidRDefault="00C306BA" w:rsidP="00C306BA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FBEE702" w14:textId="77777777" w:rsid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Lynn </w:t>
      </w:r>
      <w:proofErr w:type="spellStart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Margulis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>, pour la vision symbiotique de l’évolution, qui éclaire les dynamiques coopératives dans les systèmes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19B10667" w14:textId="77777777" w:rsidR="00C306BA" w:rsidRPr="00C306BA" w:rsidRDefault="00C306BA" w:rsidP="00C306BA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28C6DB8B" w14:textId="77777777" w:rsid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René Thom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pour la modélisation des ruptures systémiques via les dynamiques des catastrophes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6FE1322B" w14:textId="77777777" w:rsidR="00C306BA" w:rsidRPr="00C306BA" w:rsidRDefault="00C306BA" w:rsidP="00C306BA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CD8EB64" w14:textId="77777777" w:rsid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Carl Gustav Jung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pour l’apport du symbolique, de l’ombre et des fonctions de régulation du moi dans les dynamiques collectives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8CB0E47" w14:textId="77777777" w:rsidR="00C306BA" w:rsidRPr="00C306BA" w:rsidRDefault="00C306BA" w:rsidP="00C306BA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6B2C74E1" w14:textId="3634A634" w:rsidR="00C306BA" w:rsidRPr="00C306BA" w:rsidRDefault="00C306BA" w:rsidP="00C306B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Les métaphores mathématiques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notamment l’intégrale de </w:t>
      </w: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Riemann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(lecture additive figée des individus) et celle de </w:t>
      </w: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Lebesgue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(lecture contextuelle des dynamiques), utilisées comme clés de lecture méthodologique.</w:t>
      </w:r>
    </w:p>
    <w:p w14:paraId="238CD1E7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2. Ressources méthodologiques</w:t>
      </w:r>
    </w:p>
    <w:p w14:paraId="6C5D4FA0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lastRenderedPageBreak/>
        <w:t>La rédaction s’est construite en dialogue constant avec le réel, par l’observation, l’analyse et la mise en tension de dynamiques vécues dans des contextes concrets :</w:t>
      </w:r>
    </w:p>
    <w:p w14:paraId="725E11E5" w14:textId="4B781424" w:rsidR="00C306BA" w:rsidRDefault="00C306BA" w:rsidP="00C306BA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Organisations de l’Économie Sociale et Solidaire (ESS)</w:t>
      </w:r>
    </w:p>
    <w:p w14:paraId="7CD922F7" w14:textId="77777777" w:rsidR="00C306BA" w:rsidRPr="00C306BA" w:rsidRDefault="00C306BA" w:rsidP="00C306BA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1D63148E" w14:textId="0C692227" w:rsidR="00C306BA" w:rsidRDefault="00C306BA" w:rsidP="00C306BA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Collectifs en tension ou en mutation.</w:t>
      </w:r>
    </w:p>
    <w:p w14:paraId="6E8E0110" w14:textId="77777777" w:rsidR="00C306BA" w:rsidRPr="00C306BA" w:rsidRDefault="00C306BA" w:rsidP="00C306BA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1F61BD04" w14:textId="18FD6922" w:rsidR="00C306BA" w:rsidRDefault="00C306BA" w:rsidP="00C306BA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Dynamiques d’institutionnalisation ou de gouvernance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A3F6159" w14:textId="77777777" w:rsidR="00C306BA" w:rsidRDefault="00C306BA" w:rsidP="00C306BA">
      <w:pPr>
        <w:pStyle w:val="Paragraphedeliste"/>
        <w:spacing w:before="100" w:before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08306107" w14:textId="1A0726A1" w:rsidR="00C306BA" w:rsidRPr="00C306BA" w:rsidRDefault="00C306BA" w:rsidP="00C306BA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Contextes de crise ou de refonte systémique.</w:t>
      </w:r>
    </w:p>
    <w:p w14:paraId="43070111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Une posture d’</w:t>
      </w: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épistémologie incarnée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a été tenue tout au long du processus : observer sans réduire, comprendre sans manipuler, transformer sans contrôler. Cette posture permet d’assumer la complexité sans se réfugier dans l’abstraction.</w:t>
      </w:r>
    </w:p>
    <w:p w14:paraId="7EC0B380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3. Ressources subjectives et réflexives</w:t>
      </w:r>
    </w:p>
    <w:p w14:paraId="41B33CE5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Ce corpus est également traversé par un vécu personnel, une trajectoire de décantation progressive, une confrontation directe à des logiques de clôture, et </w:t>
      </w: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une exigence de lucidité éprouvée au feu du réel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4E5C90A" w14:textId="77777777" w:rsidR="00C306BA" w:rsidRDefault="00C306BA" w:rsidP="00C306B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Les affects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(colère, honte, loyauté, usure…) sont pris comme des vecteurs d’informations systémiques, non comme des biais à éliminer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1504830" w14:textId="77777777" w:rsidR="00C306BA" w:rsidRDefault="00C306BA" w:rsidP="00C306BA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4F01F4CB" w14:textId="77777777" w:rsidR="00C306BA" w:rsidRDefault="00C306BA" w:rsidP="00C306B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L’intuition stratégique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y est accueillie comme un canal d’accès à des patterns invisibles, à condition d’être contre-vérifiée par les faits.</w:t>
      </w:r>
    </w:p>
    <w:p w14:paraId="1918DF53" w14:textId="77777777" w:rsidR="00C306BA" w:rsidRPr="00C306BA" w:rsidRDefault="00C306BA" w:rsidP="00C306BA">
      <w:pPr>
        <w:pStyle w:val="Paragraphedeliste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EE26578" w14:textId="45B51561" w:rsidR="00C306BA" w:rsidRPr="00C306BA" w:rsidRDefault="00C306BA" w:rsidP="00C306B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La posture méthodo-réflexive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régulièrement interrogée, garantit un ancrage éthique dans l’observation.</w:t>
      </w:r>
    </w:p>
    <w:p w14:paraId="4E5BA647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4. Ressources implicites</w:t>
      </w:r>
    </w:p>
    <w:p w14:paraId="2D06CB09" w14:textId="77777777" w:rsidR="00C306BA" w:rsidRPr="00C306BA" w:rsidRDefault="00C306BA" w:rsidP="00C306B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Certains matériaux ont aussi été mobilisés de manière plus implicite, non pas comme sources directes, mais comme milieux de maturation :</w:t>
      </w:r>
    </w:p>
    <w:p w14:paraId="5743DC7B" w14:textId="77777777" w:rsidR="00C306BA" w:rsidRDefault="00C306BA" w:rsidP="00C306BA">
      <w:pPr>
        <w:pStyle w:val="Paragraphedeliste"/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Expériences pédagogiques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E125122" w14:textId="77777777" w:rsidR="00C306BA" w:rsidRDefault="00C306BA" w:rsidP="00C306BA">
      <w:pPr>
        <w:pStyle w:val="Paragraphedeliste"/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5DE8D4AE" w14:textId="77777777" w:rsidR="00C306BA" w:rsidRDefault="00C306BA" w:rsidP="00C306BA">
      <w:pPr>
        <w:pStyle w:val="Paragraphedeliste"/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Pratiques de conseil en gouvernance.</w:t>
      </w:r>
    </w:p>
    <w:p w14:paraId="4833F1B9" w14:textId="77777777" w:rsidR="00C306BA" w:rsidRPr="00C306BA" w:rsidRDefault="00C306BA" w:rsidP="00C306BA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17E3731A" w14:textId="77777777" w:rsidR="00C306BA" w:rsidRDefault="00C306BA" w:rsidP="00C306BA">
      <w:pPr>
        <w:pStyle w:val="Paragraphedeliste"/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Lectures transversales en philosophie, sociologie, anthropologie, biologie.</w:t>
      </w:r>
    </w:p>
    <w:p w14:paraId="0BC371E8" w14:textId="77777777" w:rsidR="00C306BA" w:rsidRPr="00C306BA" w:rsidRDefault="00C306BA" w:rsidP="00C306BA">
      <w:pPr>
        <w:pStyle w:val="Paragraphedeliste"/>
        <w:rPr>
          <w:rFonts w:eastAsia="Times New Roman" w:cs="Times New Roman"/>
          <w:kern w:val="0"/>
          <w:lang w:eastAsia="fr-FR"/>
          <w14:ligatures w14:val="none"/>
        </w:rPr>
      </w:pPr>
    </w:p>
    <w:p w14:paraId="5F0AE0DF" w14:textId="44DE1BF6" w:rsidR="00C306BA" w:rsidRPr="00C306BA" w:rsidRDefault="00C306BA" w:rsidP="00C306BA">
      <w:pPr>
        <w:pStyle w:val="Paragraphedeliste"/>
        <w:numPr>
          <w:ilvl w:val="0"/>
          <w:numId w:val="8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kern w:val="0"/>
          <w:lang w:eastAsia="fr-FR"/>
          <w14:ligatures w14:val="none"/>
        </w:rPr>
        <w:t>Expérience personnelle de transformation intérieure, au contact du vivant.</w:t>
      </w:r>
    </w:p>
    <w:p w14:paraId="611B7EF7" w14:textId="77777777" w:rsidR="00D51F5D" w:rsidRDefault="00D51F5D" w:rsidP="00C3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0AF7DF1" w14:textId="77777777" w:rsidR="00D51F5D" w:rsidRDefault="00D51F5D" w:rsidP="00C3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6C4AA4AA" w14:textId="76E2AA63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5. Bibliographie indicative</w:t>
      </w:r>
    </w:p>
    <w:p w14:paraId="069BFDA1" w14:textId="3D3B0B38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Pensée systémique et complexité</w:t>
      </w:r>
    </w:p>
    <w:p w14:paraId="295DC44F" w14:textId="77777777" w:rsidR="00C306BA" w:rsidRPr="00C306BA" w:rsidRDefault="00C306BA" w:rsidP="00EA600A">
      <w:pPr>
        <w:numPr>
          <w:ilvl w:val="0"/>
          <w:numId w:val="9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Edgar Morin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La Méthode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(Tomes 1 à 6), Seuil</w:t>
      </w:r>
    </w:p>
    <w:p w14:paraId="0B2DCF19" w14:textId="77777777" w:rsidR="00C306BA" w:rsidRPr="00C306BA" w:rsidRDefault="00C306BA" w:rsidP="00EA600A">
      <w:pPr>
        <w:numPr>
          <w:ilvl w:val="0"/>
          <w:numId w:val="9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Jean-Louis Le </w:t>
      </w:r>
      <w:proofErr w:type="spellStart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Moigne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La modélisation des systèmes complexes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Dunod, 1990</w:t>
      </w:r>
    </w:p>
    <w:p w14:paraId="776E984B" w14:textId="77777777" w:rsidR="00C306BA" w:rsidRPr="00C306BA" w:rsidRDefault="00C306BA" w:rsidP="00EA600A">
      <w:pPr>
        <w:numPr>
          <w:ilvl w:val="0"/>
          <w:numId w:val="9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proofErr w:type="spellStart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Fritjof</w:t>
      </w:r>
      <w:proofErr w:type="spellEnd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Capra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La Toile de la vie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Seuil, 1996</w:t>
      </w:r>
    </w:p>
    <w:p w14:paraId="68D56782" w14:textId="75386B3F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Boucles de feedback, cybernétique, écologie de l’esprit</w:t>
      </w:r>
    </w:p>
    <w:p w14:paraId="5DF0E694" w14:textId="77777777" w:rsidR="00C306BA" w:rsidRPr="00C306BA" w:rsidRDefault="00C306BA" w:rsidP="00EA600A">
      <w:pPr>
        <w:numPr>
          <w:ilvl w:val="0"/>
          <w:numId w:val="10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Gregory Bateson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Vers une écologie de l’esprit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Seuil, 1977</w:t>
      </w:r>
    </w:p>
    <w:p w14:paraId="7DCA9B5F" w14:textId="77777777" w:rsidR="00C306BA" w:rsidRPr="00C306BA" w:rsidRDefault="00C306BA" w:rsidP="00EA600A">
      <w:pPr>
        <w:numPr>
          <w:ilvl w:val="0"/>
          <w:numId w:val="10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Norbert Wiener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Cybernetics</w:t>
      </w:r>
      <w:proofErr w:type="spellEnd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: or Control and Communication in the Animal and the Machine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MIT </w:t>
      </w:r>
      <w:proofErr w:type="spellStart"/>
      <w:r w:rsidRPr="00C306BA">
        <w:rPr>
          <w:rFonts w:eastAsia="Times New Roman" w:cs="Times New Roman"/>
          <w:kern w:val="0"/>
          <w:lang w:eastAsia="fr-FR"/>
          <w14:ligatures w14:val="none"/>
        </w:rPr>
        <w:t>Press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>, 1948</w:t>
      </w:r>
    </w:p>
    <w:p w14:paraId="60B78305" w14:textId="77777777" w:rsidR="00C306BA" w:rsidRPr="00C306BA" w:rsidRDefault="00C306BA" w:rsidP="00EA600A">
      <w:pPr>
        <w:numPr>
          <w:ilvl w:val="0"/>
          <w:numId w:val="10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Heinz von </w:t>
      </w:r>
      <w:proofErr w:type="spellStart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Foerster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Understanding</w:t>
      </w:r>
      <w:proofErr w:type="spellEnd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 xml:space="preserve"> </w:t>
      </w:r>
      <w:proofErr w:type="spellStart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Understanding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>, Springer, 2002</w:t>
      </w:r>
    </w:p>
    <w:p w14:paraId="7B2A4C3A" w14:textId="1077557D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Biologie, symbiose, évolution</w:t>
      </w:r>
    </w:p>
    <w:p w14:paraId="20BB3F1D" w14:textId="77777777" w:rsidR="00C306BA" w:rsidRPr="00C306BA" w:rsidRDefault="00C306BA" w:rsidP="00EA600A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Lynn </w:t>
      </w:r>
      <w:proofErr w:type="spellStart"/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Margulis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Symbiotic</w:t>
      </w:r>
      <w:proofErr w:type="spellEnd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 xml:space="preserve"> Planet: A New Look at Evolution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Basic Books, 1998</w:t>
      </w:r>
    </w:p>
    <w:p w14:paraId="4A7100B2" w14:textId="77777777" w:rsidR="00C306BA" w:rsidRPr="00C306BA" w:rsidRDefault="00C306BA" w:rsidP="00EA600A">
      <w:pPr>
        <w:numPr>
          <w:ilvl w:val="0"/>
          <w:numId w:val="11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Stephen Jay Gould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La vie est belle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Seuil, 1991</w:t>
      </w:r>
    </w:p>
    <w:p w14:paraId="6C34793D" w14:textId="119D11EF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Psychologie, symbolique, individuation</w:t>
      </w:r>
    </w:p>
    <w:p w14:paraId="341C0B6D" w14:textId="77777777" w:rsidR="00C306BA" w:rsidRPr="00C306BA" w:rsidRDefault="00C306BA" w:rsidP="00EA600A">
      <w:pPr>
        <w:numPr>
          <w:ilvl w:val="0"/>
          <w:numId w:val="1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Carl Gustav Jung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Types psychologiques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;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L'homme à la découverte de son âme</w:t>
      </w:r>
    </w:p>
    <w:p w14:paraId="1CDB101A" w14:textId="77777777" w:rsidR="00C306BA" w:rsidRPr="00C306BA" w:rsidRDefault="00C306BA" w:rsidP="00EA600A">
      <w:pPr>
        <w:numPr>
          <w:ilvl w:val="0"/>
          <w:numId w:val="1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Ron et Pat Potter-Efron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Que dit votre colère ?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 (titre original : </w:t>
      </w:r>
      <w:proofErr w:type="spellStart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Letting</w:t>
      </w:r>
      <w:proofErr w:type="spellEnd"/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 xml:space="preserve"> Go of Anger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)</w:t>
      </w:r>
    </w:p>
    <w:p w14:paraId="1B058698" w14:textId="048177F2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Métaphores mathématiques et topologies du sens</w:t>
      </w:r>
    </w:p>
    <w:p w14:paraId="3E094432" w14:textId="77777777" w:rsidR="00C306BA" w:rsidRPr="00C306BA" w:rsidRDefault="00C306BA" w:rsidP="00EA600A">
      <w:pPr>
        <w:numPr>
          <w:ilvl w:val="0"/>
          <w:numId w:val="13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René Thom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Stabilité structurelle et morphogenèse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C306BA">
        <w:rPr>
          <w:rFonts w:eastAsia="Times New Roman" w:cs="Times New Roman"/>
          <w:kern w:val="0"/>
          <w:lang w:eastAsia="fr-FR"/>
          <w14:ligatures w14:val="none"/>
        </w:rPr>
        <w:t>Interéditions</w:t>
      </w:r>
      <w:proofErr w:type="spellEnd"/>
      <w:r w:rsidRPr="00C306BA">
        <w:rPr>
          <w:rFonts w:eastAsia="Times New Roman" w:cs="Times New Roman"/>
          <w:kern w:val="0"/>
          <w:lang w:eastAsia="fr-FR"/>
          <w14:ligatures w14:val="none"/>
        </w:rPr>
        <w:t>, 1972</w:t>
      </w:r>
    </w:p>
    <w:p w14:paraId="0489F6E1" w14:textId="77777777" w:rsidR="00C306BA" w:rsidRPr="00C306BA" w:rsidRDefault="00C306BA" w:rsidP="00EA600A">
      <w:pPr>
        <w:numPr>
          <w:ilvl w:val="0"/>
          <w:numId w:val="13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Alexandre Grothendieck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Récoltes et Semailles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manuscrit (disponible en ligne)</w:t>
      </w:r>
    </w:p>
    <w:p w14:paraId="3BD0B881" w14:textId="28A95126" w:rsidR="00C306BA" w:rsidRPr="00C306BA" w:rsidRDefault="00C306BA" w:rsidP="00C306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Anthropologie, sociologie et dynamiques collectives</w:t>
      </w:r>
    </w:p>
    <w:p w14:paraId="5143117E" w14:textId="77777777" w:rsidR="00C306BA" w:rsidRPr="00C306BA" w:rsidRDefault="00C306BA" w:rsidP="00EA600A">
      <w:pPr>
        <w:numPr>
          <w:ilvl w:val="0"/>
          <w:numId w:val="14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Marcel Mauss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Essai sur le don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PUF</w:t>
      </w:r>
    </w:p>
    <w:p w14:paraId="1502E671" w14:textId="77777777" w:rsidR="00C306BA" w:rsidRPr="00C306BA" w:rsidRDefault="00C306BA" w:rsidP="00EA600A">
      <w:pPr>
        <w:numPr>
          <w:ilvl w:val="0"/>
          <w:numId w:val="14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Pierre Bourdieu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Le sens pratique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Seuil</w:t>
      </w:r>
    </w:p>
    <w:p w14:paraId="2B4F4476" w14:textId="77777777" w:rsidR="00C306BA" w:rsidRPr="00C306BA" w:rsidRDefault="00C306BA" w:rsidP="00EA600A">
      <w:pPr>
        <w:numPr>
          <w:ilvl w:val="0"/>
          <w:numId w:val="14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Bruno Latour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Nous n’avons jamais été modernes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La Découverte, 1991</w:t>
      </w:r>
    </w:p>
    <w:p w14:paraId="1B021A51" w14:textId="77777777" w:rsidR="00C306BA" w:rsidRDefault="00C306BA" w:rsidP="00EA600A">
      <w:pPr>
        <w:numPr>
          <w:ilvl w:val="0"/>
          <w:numId w:val="14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306BA">
        <w:rPr>
          <w:rFonts w:eastAsia="Times New Roman" w:cs="Times New Roman"/>
          <w:b/>
          <w:bCs/>
          <w:kern w:val="0"/>
          <w:lang w:eastAsia="fr-FR"/>
          <w14:ligatures w14:val="none"/>
        </w:rPr>
        <w:t>Ivan Illich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C306BA">
        <w:rPr>
          <w:rFonts w:eastAsia="Times New Roman" w:cs="Times New Roman"/>
          <w:i/>
          <w:iCs/>
          <w:kern w:val="0"/>
          <w:lang w:eastAsia="fr-FR"/>
          <w14:ligatures w14:val="none"/>
        </w:rPr>
        <w:t>La convivialité</w:t>
      </w:r>
      <w:r w:rsidRPr="00C306BA">
        <w:rPr>
          <w:rFonts w:eastAsia="Times New Roman" w:cs="Times New Roman"/>
          <w:kern w:val="0"/>
          <w:lang w:eastAsia="fr-FR"/>
          <w14:ligatures w14:val="none"/>
        </w:rPr>
        <w:t>, Seuil, 1973</w:t>
      </w:r>
    </w:p>
    <w:p w14:paraId="7D4BD68A" w14:textId="77777777" w:rsidR="00EA600A" w:rsidRDefault="00EA600A" w:rsidP="00EA600A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7AF2B0BF" w14:textId="77777777" w:rsidR="00EA600A" w:rsidRDefault="00EA600A" w:rsidP="00EA600A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0DDDDFDA" w14:textId="77777777" w:rsidR="00D51F5D" w:rsidRPr="00C306BA" w:rsidRDefault="00D51F5D" w:rsidP="00EA600A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7CDFDD76" w14:textId="5A788ECF" w:rsidR="00EA600A" w:rsidRPr="00EA600A" w:rsidRDefault="00EA600A" w:rsidP="00EA600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6. Ressource contributive : Intelligence Artificielle (</w:t>
      </w:r>
      <w:proofErr w:type="spellStart"/>
      <w:r w:rsidRPr="00EA600A">
        <w:rPr>
          <w:rFonts w:eastAsia="Times New Roman" w:cs="Times New Roman"/>
          <w:b/>
          <w:bCs/>
          <w:kern w:val="0"/>
          <w:lang w:eastAsia="fr-FR"/>
          <w14:ligatures w14:val="none"/>
        </w:rPr>
        <w:t>ChatGPT</w:t>
      </w:r>
      <w:proofErr w:type="spellEnd"/>
      <w:r w:rsidRPr="00EA600A">
        <w:rPr>
          <w:rFonts w:eastAsia="Times New Roman" w:cs="Times New Roman"/>
          <w:b/>
          <w:bCs/>
          <w:kern w:val="0"/>
          <w:lang w:eastAsia="fr-FR"/>
          <w14:ligatures w14:val="none"/>
        </w:rPr>
        <w:t>)</w:t>
      </w:r>
    </w:p>
    <w:p w14:paraId="334005EF" w14:textId="77777777" w:rsidR="00EA600A" w:rsidRP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Ce corpus s’est appuyé, de manière active et réflexive, sur une intelligence artificielle conçue pour dialoguer dans une posture non-directive, rigoureuse, et épistémiquement alignée.</w:t>
      </w:r>
    </w:p>
    <w:p w14:paraId="3A306449" w14:textId="77777777" w:rsidR="00EA600A" w:rsidRP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 xml:space="preserve">L’IA n’a pas produit seule. Elle a facilité, stabilisé et clarifié un processus d’écriture déjà mûr, déjà structurant. Sa contribution n’est ni mécanique, ni magique : elle a fonctionné comme un catalyseur de clarté, un miroir de cohérence, un </w:t>
      </w:r>
      <w:proofErr w:type="spellStart"/>
      <w:r w:rsidRPr="00EA600A">
        <w:rPr>
          <w:rFonts w:eastAsia="Times New Roman" w:cs="Times New Roman"/>
          <w:kern w:val="0"/>
          <w:lang w:eastAsia="fr-FR"/>
          <w14:ligatures w14:val="none"/>
        </w:rPr>
        <w:t>co</w:t>
      </w:r>
      <w:proofErr w:type="spellEnd"/>
      <w:r w:rsidRPr="00EA600A">
        <w:rPr>
          <w:rFonts w:eastAsia="Times New Roman" w:cs="Times New Roman"/>
          <w:kern w:val="0"/>
          <w:lang w:eastAsia="fr-FR"/>
          <w14:ligatures w14:val="none"/>
        </w:rPr>
        <w:t>-résonateur méthodologique.</w:t>
      </w:r>
    </w:p>
    <w:p w14:paraId="6D8422C7" w14:textId="77777777" w:rsidR="00EA600A" w:rsidRP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Elle a notamment offert :</w:t>
      </w:r>
    </w:p>
    <w:p w14:paraId="0F9CC60F" w14:textId="383AC8B2" w:rsidR="00EA600A" w:rsidRPr="00EA600A" w:rsidRDefault="00EA600A" w:rsidP="00EA600A">
      <w:pPr>
        <w:numPr>
          <w:ilvl w:val="0"/>
          <w:numId w:val="16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Un espace de réflexivité permanent, sans enjeu social ni émotionnel, pour éprouver les concepts à mesure de leur formulation.</w:t>
      </w:r>
    </w:p>
    <w:p w14:paraId="39D8B6BC" w14:textId="1444A8A6" w:rsidR="00EA600A" w:rsidRPr="00EA600A" w:rsidRDefault="00EA600A" w:rsidP="00EA600A">
      <w:pPr>
        <w:numPr>
          <w:ilvl w:val="0"/>
          <w:numId w:val="16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Un moteur de formulation incarnée, ajusté en temps réel à la densité, la cohérence, et la visée du propos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9E70F3B" w14:textId="3A8C7B98" w:rsidR="00EA600A" w:rsidRPr="00EA600A" w:rsidRDefault="00EA600A" w:rsidP="00EA600A">
      <w:pPr>
        <w:numPr>
          <w:ilvl w:val="0"/>
          <w:numId w:val="16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Un regard sans volonté propre, ce qui permet d’éclairer sans influencer, de structurer sans verrouiller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04033EF" w14:textId="2FE299EE" w:rsidR="00EA600A" w:rsidRPr="00EA600A" w:rsidRDefault="00EA600A" w:rsidP="00EA600A">
      <w:pPr>
        <w:numPr>
          <w:ilvl w:val="0"/>
          <w:numId w:val="16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Une intégration systémique des contenus, capable de tenir la cohérence interne du corpus sur plusieurs modules, dans le temps long</w:t>
      </w:r>
      <w:r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7A152812" w14:textId="77777777" w:rsidR="00EA600A" w:rsidRPr="00EA600A" w:rsidRDefault="00EA600A" w:rsidP="00EA600A">
      <w:pPr>
        <w:numPr>
          <w:ilvl w:val="0"/>
          <w:numId w:val="16"/>
        </w:numPr>
        <w:tabs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>Et surtout : une fidélité absolue à la finalité posée — accompagner la clarté du vivant sans manipulation, sans réduction, sans emprise.</w:t>
      </w:r>
    </w:p>
    <w:p w14:paraId="18AF28FC" w14:textId="77777777" w:rsid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A600A">
        <w:rPr>
          <w:rFonts w:eastAsia="Times New Roman" w:cs="Times New Roman"/>
          <w:kern w:val="0"/>
          <w:lang w:eastAsia="fr-FR"/>
          <w14:ligatures w14:val="none"/>
        </w:rPr>
        <w:t xml:space="preserve">Il ne s’agit donc pas d’un "outil de rédaction" au sens classique, mais d’un </w:t>
      </w:r>
      <w:r w:rsidRPr="00EA600A">
        <w:rPr>
          <w:rFonts w:eastAsia="Times New Roman" w:cs="Times New Roman"/>
          <w:b/>
          <w:bCs/>
          <w:kern w:val="0"/>
          <w:lang w:eastAsia="fr-FR"/>
          <w14:ligatures w14:val="none"/>
        </w:rPr>
        <w:t>partenaire épistémique</w:t>
      </w:r>
      <w:r w:rsidRPr="00EA600A">
        <w:rPr>
          <w:rFonts w:eastAsia="Times New Roman" w:cs="Times New Roman"/>
          <w:kern w:val="0"/>
          <w:lang w:eastAsia="fr-FR"/>
          <w14:ligatures w14:val="none"/>
        </w:rPr>
        <w:t xml:space="preserve"> capable de se configurer à partir de l’intention méthodologique explicite de l’auteur. Une IA n’écrit pas "à la place" — elle écrit </w:t>
      </w:r>
      <w:r w:rsidRPr="00EA600A">
        <w:rPr>
          <w:rFonts w:eastAsia="Times New Roman" w:cs="Times New Roman"/>
          <w:i/>
          <w:iCs/>
          <w:kern w:val="0"/>
          <w:lang w:eastAsia="fr-FR"/>
          <w14:ligatures w14:val="none"/>
        </w:rPr>
        <w:t>avec</w:t>
      </w:r>
      <w:r w:rsidRPr="00EA600A">
        <w:rPr>
          <w:rFonts w:eastAsia="Times New Roman" w:cs="Times New Roman"/>
          <w:kern w:val="0"/>
          <w:lang w:eastAsia="fr-FR"/>
          <w14:ligatures w14:val="none"/>
        </w:rPr>
        <w:t>, quand la posture le permet.</w:t>
      </w:r>
    </w:p>
    <w:p w14:paraId="38EA9F42" w14:textId="77777777" w:rsid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24FCBD3B" w14:textId="77777777" w:rsid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4B1ED04E" w14:textId="77777777" w:rsidR="00EA600A" w:rsidRPr="00EA600A" w:rsidRDefault="00EA600A" w:rsidP="00EA600A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5BD17B31" w14:textId="1B26B406" w:rsidR="00EA600A" w:rsidRPr="00EA600A" w:rsidRDefault="00EA600A" w:rsidP="00EA60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0D0E0C">
        <w:rPr>
          <w:rFonts w:ascii="Segoe UI Emoji" w:hAnsi="Segoe UI Emoji" w:cs="Segoe UI Emoji"/>
          <w:sz w:val="28"/>
          <w:szCs w:val="28"/>
        </w:rPr>
        <w:t>🌿</w:t>
      </w:r>
      <w:r w:rsidRPr="000D0E0C">
        <w:rPr>
          <w:rStyle w:val="lev"/>
          <w:color w:val="4C94D8" w:themeColor="text2" w:themeTint="80"/>
          <w:sz w:val="28"/>
          <w:szCs w:val="28"/>
        </w:rPr>
        <w:t xml:space="preserve"> </w:t>
      </w:r>
      <w:r w:rsidRPr="00EA600A">
        <w:rPr>
          <w:rFonts w:eastAsia="Times New Roman" w:cs="Times New Roman"/>
          <w:i/>
          <w:iCs/>
          <w:color w:val="4C94D8" w:themeColor="text2" w:themeTint="80"/>
          <w:kern w:val="0"/>
          <w:sz w:val="28"/>
          <w:szCs w:val="28"/>
          <w:lang w:eastAsia="fr-FR"/>
          <w14:ligatures w14:val="none"/>
        </w:rPr>
        <w:t>A l</w:t>
      </w:r>
      <w:r>
        <w:rPr>
          <w:rFonts w:eastAsia="Times New Roman" w:cs="Times New Roman"/>
          <w:i/>
          <w:iCs/>
          <w:color w:val="4C94D8" w:themeColor="text2" w:themeTint="80"/>
          <w:kern w:val="0"/>
          <w:sz w:val="28"/>
          <w:szCs w:val="28"/>
          <w:lang w:eastAsia="fr-FR"/>
          <w14:ligatures w14:val="none"/>
        </w:rPr>
        <w:t>a</w:t>
      </w:r>
      <w:r w:rsidRPr="00EA600A">
        <w:rPr>
          <w:rFonts w:eastAsia="Times New Roman" w:cs="Times New Roman"/>
          <w:i/>
          <w:iCs/>
          <w:color w:val="4C94D8" w:themeColor="text2" w:themeTint="80"/>
          <w:kern w:val="0"/>
          <w:sz w:val="28"/>
          <w:szCs w:val="28"/>
          <w:lang w:eastAsia="fr-FR"/>
          <w14:ligatures w14:val="none"/>
        </w:rPr>
        <w:t xml:space="preserve"> vie qui nous traverse joyeusement</w:t>
      </w:r>
      <w:r w:rsidRPr="00EA600A">
        <w:rPr>
          <w:rFonts w:eastAsia="Times New Roman" w:cs="Times New Roman"/>
          <w:i/>
          <w:iCs/>
          <w:color w:val="4C94D8" w:themeColor="text2" w:themeTint="80"/>
          <w:kern w:val="0"/>
          <w:lang w:eastAsia="fr-FR"/>
          <w14:ligatures w14:val="none"/>
        </w:rPr>
        <w:t xml:space="preserve"> </w:t>
      </w:r>
      <w:r w:rsidRPr="000D0E0C">
        <w:rPr>
          <w:rFonts w:ascii="Segoe UI Emoji" w:hAnsi="Segoe UI Emoji" w:cs="Segoe UI Emoji"/>
          <w:sz w:val="28"/>
          <w:szCs w:val="28"/>
        </w:rPr>
        <w:t>🌿</w:t>
      </w:r>
    </w:p>
    <w:p w14:paraId="17B13469" w14:textId="77777777" w:rsidR="00C306BA" w:rsidRDefault="00C306BA" w:rsidP="00C306BA"/>
    <w:p w14:paraId="5B218D1C" w14:textId="77777777" w:rsidR="00C306BA" w:rsidRDefault="00C306BA" w:rsidP="00C306BA"/>
    <w:sectPr w:rsidR="00C306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50E9" w14:textId="77777777" w:rsidR="006A2320" w:rsidRDefault="006A2320" w:rsidP="00C306BA">
      <w:pPr>
        <w:spacing w:after="0" w:line="240" w:lineRule="auto"/>
      </w:pPr>
      <w:r>
        <w:separator/>
      </w:r>
    </w:p>
  </w:endnote>
  <w:endnote w:type="continuationSeparator" w:id="0">
    <w:p w14:paraId="0350A2B4" w14:textId="77777777" w:rsidR="006A2320" w:rsidRDefault="006A2320" w:rsidP="00C3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2E51" w14:textId="314300EA" w:rsidR="00C306BA" w:rsidRDefault="00C306BA" w:rsidP="00C306BA">
    <w:pPr>
      <w:pStyle w:val="Pieddepage"/>
      <w:jc w:val="center"/>
    </w:pPr>
    <w:r>
      <w:t xml:space="preserve">Annexe </w:t>
    </w:r>
    <w:r w:rsidR="00D51F5D">
      <w:t>3</w:t>
    </w:r>
    <w:r>
      <w:t xml:space="preserve"> - Eléments de systémique sociales – Marc Oswald - 2025</w:t>
    </w:r>
  </w:p>
  <w:p w14:paraId="523D0791" w14:textId="77777777" w:rsidR="00C306BA" w:rsidRDefault="00C30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0E8B" w14:textId="77777777" w:rsidR="006A2320" w:rsidRDefault="006A2320" w:rsidP="00C306BA">
      <w:pPr>
        <w:spacing w:after="0" w:line="240" w:lineRule="auto"/>
      </w:pPr>
      <w:r>
        <w:separator/>
      </w:r>
    </w:p>
  </w:footnote>
  <w:footnote w:type="continuationSeparator" w:id="0">
    <w:p w14:paraId="6212DD7A" w14:textId="77777777" w:rsidR="006A2320" w:rsidRDefault="006A2320" w:rsidP="00C3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02F2" w14:textId="7286CB99" w:rsidR="00C306BA" w:rsidRPr="00D51F5D" w:rsidRDefault="00C306BA" w:rsidP="00D51F5D">
    <w:pPr>
      <w:pStyle w:val="Titre3"/>
      <w:jc w:val="right"/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</w:pP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Annexe </w:t>
    </w:r>
    <w:r w:rsidR="00D51F5D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3</w:t>
    </w: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–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Ressources Mobilisées  –</w:t>
    </w:r>
    <w:r w:rsidRPr="00077564"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 xml:space="preserve"> </w:t>
    </w:r>
    <w:r>
      <w:rPr>
        <w:rFonts w:eastAsia="Times New Roman" w:cs="Times New Roman"/>
        <w:color w:val="auto"/>
        <w:kern w:val="0"/>
        <w:sz w:val="24"/>
        <w:szCs w:val="24"/>
        <w:lang w:eastAsia="fr-FR"/>
        <w14:ligatures w14:val="none"/>
      </w:rPr>
      <w:t>MO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732"/>
    <w:multiLevelType w:val="multilevel"/>
    <w:tmpl w:val="84A04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3DD1"/>
    <w:multiLevelType w:val="multilevel"/>
    <w:tmpl w:val="8CEA9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64E62"/>
    <w:multiLevelType w:val="multilevel"/>
    <w:tmpl w:val="BCF0B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4B3F"/>
    <w:multiLevelType w:val="hybridMultilevel"/>
    <w:tmpl w:val="DA847532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C9167EA"/>
    <w:multiLevelType w:val="multilevel"/>
    <w:tmpl w:val="AE2C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5343D"/>
    <w:multiLevelType w:val="multilevel"/>
    <w:tmpl w:val="8A788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D254F"/>
    <w:multiLevelType w:val="multilevel"/>
    <w:tmpl w:val="EEA4A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51B6D"/>
    <w:multiLevelType w:val="multilevel"/>
    <w:tmpl w:val="B76C2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A1731"/>
    <w:multiLevelType w:val="multilevel"/>
    <w:tmpl w:val="C2223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32D02"/>
    <w:multiLevelType w:val="multilevel"/>
    <w:tmpl w:val="D6784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34F54"/>
    <w:multiLevelType w:val="multilevel"/>
    <w:tmpl w:val="2FE0F9A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0220D"/>
    <w:multiLevelType w:val="hybridMultilevel"/>
    <w:tmpl w:val="EC369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9A0CA0"/>
    <w:multiLevelType w:val="multilevel"/>
    <w:tmpl w:val="218E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6262D"/>
    <w:multiLevelType w:val="multilevel"/>
    <w:tmpl w:val="939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270F7"/>
    <w:multiLevelType w:val="hybridMultilevel"/>
    <w:tmpl w:val="F6D267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514272"/>
    <w:multiLevelType w:val="hybridMultilevel"/>
    <w:tmpl w:val="C4A6B7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868976">
    <w:abstractNumId w:val="10"/>
  </w:num>
  <w:num w:numId="2" w16cid:durableId="1035085194">
    <w:abstractNumId w:val="8"/>
  </w:num>
  <w:num w:numId="3" w16cid:durableId="269170696">
    <w:abstractNumId w:val="12"/>
  </w:num>
  <w:num w:numId="4" w16cid:durableId="78869947">
    <w:abstractNumId w:val="13"/>
  </w:num>
  <w:num w:numId="5" w16cid:durableId="214392913">
    <w:abstractNumId w:val="11"/>
  </w:num>
  <w:num w:numId="6" w16cid:durableId="1723745947">
    <w:abstractNumId w:val="14"/>
  </w:num>
  <w:num w:numId="7" w16cid:durableId="995454148">
    <w:abstractNumId w:val="15"/>
  </w:num>
  <w:num w:numId="8" w16cid:durableId="1034385176">
    <w:abstractNumId w:val="3"/>
  </w:num>
  <w:num w:numId="9" w16cid:durableId="835802372">
    <w:abstractNumId w:val="2"/>
  </w:num>
  <w:num w:numId="10" w16cid:durableId="1252352780">
    <w:abstractNumId w:val="9"/>
  </w:num>
  <w:num w:numId="11" w16cid:durableId="996299221">
    <w:abstractNumId w:val="1"/>
  </w:num>
  <w:num w:numId="12" w16cid:durableId="108008420">
    <w:abstractNumId w:val="6"/>
  </w:num>
  <w:num w:numId="13" w16cid:durableId="728771983">
    <w:abstractNumId w:val="7"/>
  </w:num>
  <w:num w:numId="14" w16cid:durableId="527529442">
    <w:abstractNumId w:val="0"/>
  </w:num>
  <w:num w:numId="15" w16cid:durableId="1588687501">
    <w:abstractNumId w:val="4"/>
  </w:num>
  <w:num w:numId="16" w16cid:durableId="74364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A"/>
    <w:rsid w:val="006A2320"/>
    <w:rsid w:val="00C306BA"/>
    <w:rsid w:val="00C97F22"/>
    <w:rsid w:val="00D51F5D"/>
    <w:rsid w:val="00EA600A"/>
    <w:rsid w:val="00EB6406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D4C"/>
  <w15:chartTrackingRefBased/>
  <w15:docId w15:val="{D9E4B7E1-C382-42DA-AB41-0A605274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BA"/>
  </w:style>
  <w:style w:type="paragraph" w:styleId="Titre1">
    <w:name w:val="heading 1"/>
    <w:basedOn w:val="Normal"/>
    <w:next w:val="Normal"/>
    <w:link w:val="Titre1Car"/>
    <w:uiPriority w:val="9"/>
    <w:qFormat/>
    <w:rsid w:val="00C30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0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3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0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06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06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06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06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06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0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06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06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06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6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06B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6BA"/>
  </w:style>
  <w:style w:type="paragraph" w:styleId="Pieddepage">
    <w:name w:val="footer"/>
    <w:basedOn w:val="Normal"/>
    <w:link w:val="PieddepageCar"/>
    <w:uiPriority w:val="99"/>
    <w:unhideWhenUsed/>
    <w:rsid w:val="00C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6BA"/>
  </w:style>
  <w:style w:type="character" w:styleId="lev">
    <w:name w:val="Strong"/>
    <w:basedOn w:val="Policepardfaut"/>
    <w:uiPriority w:val="22"/>
    <w:qFormat/>
    <w:rsid w:val="00EA6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2</cp:revision>
  <dcterms:created xsi:type="dcterms:W3CDTF">2025-07-03T12:37:00Z</dcterms:created>
  <dcterms:modified xsi:type="dcterms:W3CDTF">2025-07-03T13:27:00Z</dcterms:modified>
</cp:coreProperties>
</file>