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46A5" w14:textId="307DB460" w:rsidR="00B401B0" w:rsidRPr="00713107" w:rsidRDefault="00B401B0" w:rsidP="00713107">
      <w:pPr>
        <w:spacing w:before="100" w:beforeAutospacing="1" w:after="100" w:afterAutospacing="1" w:line="240" w:lineRule="auto"/>
        <w:ind w:left="360" w:hanging="360"/>
        <w:jc w:val="center"/>
        <w:outlineLvl w:val="2"/>
        <w:rPr>
          <w:b/>
          <w:bCs/>
          <w:color w:val="215E99" w:themeColor="text2" w:themeTint="BF"/>
          <w:sz w:val="32"/>
          <w:szCs w:val="32"/>
        </w:rPr>
      </w:pPr>
      <w:r w:rsidRPr="00713107">
        <w:rPr>
          <w:b/>
          <w:bCs/>
          <w:color w:val="215E99" w:themeColor="text2" w:themeTint="BF"/>
          <w:sz w:val="32"/>
          <w:szCs w:val="32"/>
        </w:rPr>
        <w:t xml:space="preserve">Analyse économique </w:t>
      </w:r>
      <w:r w:rsidR="00713107" w:rsidRPr="00713107">
        <w:rPr>
          <w:b/>
          <w:bCs/>
          <w:color w:val="215E99" w:themeColor="text2" w:themeTint="BF"/>
          <w:sz w:val="32"/>
          <w:szCs w:val="32"/>
        </w:rPr>
        <w:t>du DLA en Grand Est</w:t>
      </w:r>
    </w:p>
    <w:p w14:paraId="600C50C4" w14:textId="77777777" w:rsidR="00B401B0" w:rsidRDefault="00B401B0" w:rsidP="00B401B0">
      <w:pPr>
        <w:pStyle w:val="Paragraphedeliste"/>
        <w:spacing w:before="100" w:beforeAutospacing="1" w:after="100" w:afterAutospacing="1" w:line="240" w:lineRule="auto"/>
        <w:ind w:left="360"/>
        <w:outlineLvl w:val="2"/>
        <w:rPr>
          <w:rFonts w:eastAsia="Times New Roman" w:cs="Times New Roman"/>
          <w:b/>
          <w:bCs/>
          <w:kern w:val="0"/>
          <w:lang w:eastAsia="fr-FR"/>
          <w14:ligatures w14:val="none"/>
        </w:rPr>
      </w:pPr>
    </w:p>
    <w:p w14:paraId="0279B3C4" w14:textId="48F0FC4F" w:rsidR="00B7716D" w:rsidRPr="00CC6709" w:rsidRDefault="00B7716D" w:rsidP="00CC6709">
      <w:pPr>
        <w:pStyle w:val="Paragraphedeliste"/>
        <w:numPr>
          <w:ilvl w:val="0"/>
          <w:numId w:val="2"/>
        </w:numPr>
        <w:spacing w:before="100" w:beforeAutospacing="1" w:after="100" w:afterAutospacing="1" w:line="240" w:lineRule="auto"/>
        <w:outlineLvl w:val="2"/>
        <w:rPr>
          <w:rFonts w:eastAsia="Times New Roman" w:cs="Times New Roman"/>
          <w:b/>
          <w:bCs/>
          <w:kern w:val="0"/>
          <w:lang w:eastAsia="fr-FR"/>
          <w14:ligatures w14:val="none"/>
        </w:rPr>
      </w:pPr>
      <w:r w:rsidRPr="00CC6709">
        <w:rPr>
          <w:rFonts w:eastAsia="Times New Roman" w:cs="Times New Roman"/>
          <w:b/>
          <w:bCs/>
          <w:kern w:val="0"/>
          <w:lang w:eastAsia="fr-FR"/>
          <w14:ligatures w14:val="none"/>
        </w:rPr>
        <w:t xml:space="preserve">Analyse de l’Activité DLA 2023 en Grand Est </w:t>
      </w:r>
    </w:p>
    <w:p w14:paraId="11F2114A" w14:textId="4F017778" w:rsidR="00B7716D" w:rsidRPr="00B7716D" w:rsidRDefault="00B03329" w:rsidP="00B7716D">
      <w:pPr>
        <w:spacing w:before="100" w:beforeAutospacing="1" w:after="100" w:afterAutospacing="1" w:line="240" w:lineRule="auto"/>
        <w:jc w:val="both"/>
        <w:rPr>
          <w:rFonts w:eastAsia="Times New Roman" w:cs="Times New Roman"/>
          <w:b/>
          <w:bCs/>
          <w:kern w:val="0"/>
          <w:lang w:eastAsia="fr-FR"/>
          <w14:ligatures w14:val="none"/>
        </w:rPr>
      </w:pPr>
      <w:r w:rsidRPr="00B7716D">
        <w:rPr>
          <w:rFonts w:eastAsia="Times New Roman" w:cs="Times New Roman"/>
          <w:b/>
          <w:bCs/>
          <w:kern w:val="0"/>
          <w:lang w:eastAsia="fr-FR"/>
          <w14:ligatures w14:val="none"/>
        </w:rPr>
        <w:t>Données</w:t>
      </w:r>
      <w:r>
        <w:rPr>
          <w:rFonts w:eastAsia="Times New Roman" w:cs="Times New Roman"/>
          <w:b/>
          <w:bCs/>
          <w:kern w:val="0"/>
          <w:lang w:eastAsia="fr-FR"/>
          <w14:ligatures w14:val="none"/>
        </w:rPr>
        <w:t xml:space="preserve"> déclarées</w:t>
      </w:r>
      <w:r w:rsidR="00B7716D" w:rsidRPr="00B7716D">
        <w:rPr>
          <w:rFonts w:eastAsia="Times New Roman" w:cs="Times New Roman"/>
          <w:b/>
          <w:bCs/>
          <w:kern w:val="0"/>
          <w:lang w:eastAsia="fr-FR"/>
          <w14:ligatures w14:val="none"/>
        </w:rPr>
        <w:t xml:space="preserve"> en </w:t>
      </w:r>
      <w:r w:rsidR="00CC6709">
        <w:rPr>
          <w:rFonts w:eastAsia="Times New Roman" w:cs="Times New Roman"/>
          <w:b/>
          <w:bCs/>
          <w:kern w:val="0"/>
          <w:lang w:eastAsia="fr-FR"/>
          <w14:ligatures w14:val="none"/>
        </w:rPr>
        <w:t xml:space="preserve">Grand Est en </w:t>
      </w:r>
      <w:r w:rsidR="00B7716D" w:rsidRPr="00B7716D">
        <w:rPr>
          <w:rFonts w:eastAsia="Times New Roman" w:cs="Times New Roman"/>
          <w:b/>
          <w:bCs/>
          <w:kern w:val="0"/>
          <w:lang w:eastAsia="fr-FR"/>
          <w14:ligatures w14:val="none"/>
        </w:rPr>
        <w:t>2023</w:t>
      </w:r>
      <w:r w:rsidR="00B7716D">
        <w:rPr>
          <w:rFonts w:eastAsia="Times New Roman" w:cs="Times New Roman"/>
          <w:b/>
          <w:bCs/>
          <w:kern w:val="0"/>
          <w:lang w:eastAsia="fr-FR"/>
          <w14:ligatures w14:val="none"/>
        </w:rPr>
        <w:t xml:space="preserve"> </w:t>
      </w:r>
      <w:r w:rsidR="00B7716D" w:rsidRPr="00B7716D">
        <w:rPr>
          <w:rFonts w:eastAsia="Times New Roman" w:cs="Times New Roman"/>
          <w:b/>
          <w:bCs/>
          <w:kern w:val="0"/>
          <w:lang w:eastAsia="fr-FR"/>
          <w14:ligatures w14:val="none"/>
        </w:rPr>
        <w:t xml:space="preserve">: </w:t>
      </w:r>
    </w:p>
    <w:p w14:paraId="0E8E085F" w14:textId="7B365C64" w:rsidR="00B7716D" w:rsidRP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sidRPr="00B7716D">
        <w:rPr>
          <w:rFonts w:eastAsia="Times New Roman" w:cs="Times New Roman"/>
          <w:kern w:val="0"/>
          <w:lang w:eastAsia="fr-FR"/>
          <w14:ligatures w14:val="none"/>
        </w:rPr>
        <w:t>L’activité d’accompagnement des structures et de prescription de prestations d’ingénierie est assurée par les 23 chargés de mission régionaux.</w:t>
      </w:r>
    </w:p>
    <w:p w14:paraId="28CF891D" w14:textId="0A78EA73" w:rsidR="00B7716D" w:rsidRPr="00681FC0" w:rsidRDefault="00B7716D" w:rsidP="00B401B0">
      <w:pPr>
        <w:pStyle w:val="Paragraphedeliste"/>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rPr>
      </w:pPr>
      <w:r w:rsidRPr="00B401B0">
        <w:rPr>
          <w:b/>
          <w:bCs/>
        </w:rPr>
        <w:t xml:space="preserve">Indicateur </w:t>
      </w:r>
      <w:r w:rsidR="007767E2">
        <w:rPr>
          <w:b/>
          <w:bCs/>
        </w:rPr>
        <w:t xml:space="preserve">de </w:t>
      </w:r>
      <w:r w:rsidRPr="00B401B0">
        <w:rPr>
          <w:b/>
          <w:bCs/>
        </w:rPr>
        <w:t xml:space="preserve">gestion des moyens : </w:t>
      </w:r>
      <w:r w:rsidRPr="00B401B0">
        <w:rPr>
          <w:rFonts w:cs="Segoe UI Emoji"/>
        </w:rPr>
        <w:t xml:space="preserve"> </w:t>
      </w:r>
      <w:r w:rsidRPr="00681FC0">
        <w:rPr>
          <w:rFonts w:eastAsia="Times New Roman" w:cs="Times New Roman"/>
          <w:b/>
          <w:bCs/>
          <w:kern w:val="0"/>
          <w:lang w:eastAsia="fr-FR"/>
          <w14:ligatures w14:val="none"/>
        </w:rPr>
        <w:t xml:space="preserve">Contexte de </w:t>
      </w:r>
      <w:r w:rsidR="00713107" w:rsidRPr="00681FC0">
        <w:rPr>
          <w:rFonts w:eastAsia="Times New Roman" w:cs="Times New Roman"/>
          <w:b/>
          <w:bCs/>
          <w:kern w:val="0"/>
          <w:lang w:eastAsia="fr-FR"/>
          <w14:ligatures w14:val="none"/>
        </w:rPr>
        <w:t>r</w:t>
      </w:r>
      <w:r w:rsidRPr="00681FC0">
        <w:rPr>
          <w:rFonts w:eastAsia="Times New Roman" w:cs="Times New Roman"/>
          <w:b/>
          <w:bCs/>
          <w:kern w:val="0"/>
          <w:lang w:eastAsia="fr-FR"/>
          <w14:ligatures w14:val="none"/>
        </w:rPr>
        <w:t xml:space="preserve">enouvellement des </w:t>
      </w:r>
      <w:r w:rsidR="00713107" w:rsidRPr="00681FC0">
        <w:rPr>
          <w:rFonts w:eastAsia="Times New Roman" w:cs="Times New Roman"/>
          <w:b/>
          <w:bCs/>
          <w:kern w:val="0"/>
          <w:lang w:eastAsia="fr-FR"/>
          <w14:ligatures w14:val="none"/>
        </w:rPr>
        <w:t>c</w:t>
      </w:r>
      <w:r w:rsidRPr="00681FC0">
        <w:rPr>
          <w:rFonts w:eastAsia="Times New Roman" w:cs="Times New Roman"/>
          <w:b/>
          <w:bCs/>
          <w:kern w:val="0"/>
          <w:lang w:eastAsia="fr-FR"/>
          <w14:ligatures w14:val="none"/>
        </w:rPr>
        <w:t xml:space="preserve">hargés de </w:t>
      </w:r>
      <w:r w:rsidR="00713107" w:rsidRPr="00681FC0">
        <w:rPr>
          <w:rFonts w:eastAsia="Times New Roman" w:cs="Times New Roman"/>
          <w:b/>
          <w:bCs/>
          <w:kern w:val="0"/>
          <w:lang w:eastAsia="fr-FR"/>
          <w14:ligatures w14:val="none"/>
        </w:rPr>
        <w:t>m</w:t>
      </w:r>
      <w:r w:rsidRPr="00681FC0">
        <w:rPr>
          <w:rFonts w:eastAsia="Times New Roman" w:cs="Times New Roman"/>
          <w:b/>
          <w:bCs/>
          <w:kern w:val="0"/>
          <w:lang w:eastAsia="fr-FR"/>
          <w14:ligatures w14:val="none"/>
        </w:rPr>
        <w:t xml:space="preserve">ission. </w:t>
      </w:r>
    </w:p>
    <w:p w14:paraId="3CCBDFC6" w14:textId="2FC9607B"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t xml:space="preserve">Le nombre d’offres d’emploi DLA 2024 en Grand </w:t>
      </w:r>
      <w:r w:rsidR="00B03329">
        <w:t>Est suggère</w:t>
      </w:r>
      <w:r>
        <w:t xml:space="preserve"> un renouvellement élevé sur le poste de chargé de mission tel que déjà constaté par l’IGAS dans son rapport </w:t>
      </w:r>
      <w:r w:rsidR="00B03329">
        <w:t>publié en</w:t>
      </w:r>
      <w:r>
        <w:t xml:space="preserve"> 2012 (5 offres archivées jusqu’en mars 2025 sur le site DLA-GrandEst.org). </w:t>
      </w:r>
    </w:p>
    <w:p w14:paraId="74547848" w14:textId="77777777" w:rsidR="00B7716D" w:rsidRDefault="00B7716D" w:rsidP="00B7716D">
      <w:pPr>
        <w:spacing w:before="100" w:beforeAutospacing="1" w:after="100" w:afterAutospacing="1" w:line="240" w:lineRule="auto"/>
        <w:jc w:val="both"/>
      </w:pPr>
      <w:r>
        <w:t>En particulier pour trois postes de chargés de mission en Alsace, les échanges avec les prestataires locaux font état d’une stabilité sur poste de deux ans en moyenne</w:t>
      </w:r>
      <w:r w:rsidRPr="00281234">
        <w:t xml:space="preserve"> </w:t>
      </w:r>
      <w:r>
        <w:t>sur les dix dernières années pour le Bas-Rhin.</w:t>
      </w:r>
    </w:p>
    <w:p w14:paraId="67975BB0"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t>Cet indicateur interroge les enjeux de professionnalisation des chargés de mission et de qualité des accompagnements DLA.</w:t>
      </w:r>
    </w:p>
    <w:p w14:paraId="34A560C1" w14:textId="4C4011CA" w:rsidR="00B7716D" w:rsidRPr="00B401B0" w:rsidRDefault="00B7716D" w:rsidP="00B401B0">
      <w:pPr>
        <w:pStyle w:val="Paragraphedeliste"/>
        <w:numPr>
          <w:ilvl w:val="0"/>
          <w:numId w:val="3"/>
        </w:numPr>
        <w:pBdr>
          <w:top w:val="single" w:sz="4" w:space="1" w:color="auto"/>
          <w:left w:val="single" w:sz="4" w:space="4" w:color="auto"/>
          <w:bottom w:val="single" w:sz="4" w:space="1" w:color="auto"/>
          <w:right w:val="single" w:sz="4" w:space="4" w:color="auto"/>
        </w:pBdr>
        <w:spacing w:after="100" w:afterAutospacing="1" w:line="240" w:lineRule="auto"/>
        <w:jc w:val="both"/>
        <w:rPr>
          <w:rFonts w:eastAsia="Times New Roman" w:cs="Times New Roman"/>
          <w:kern w:val="0"/>
          <w:lang w:eastAsia="fr-FR"/>
          <w14:ligatures w14:val="none"/>
        </w:rPr>
      </w:pPr>
      <w:r w:rsidRPr="00B401B0">
        <w:rPr>
          <w:rFonts w:eastAsia="Times New Roman" w:cs="Times New Roman"/>
          <w:b/>
          <w:bCs/>
          <w:kern w:val="0"/>
          <w:lang w:eastAsia="fr-FR"/>
          <w14:ligatures w14:val="none"/>
        </w:rPr>
        <w:t xml:space="preserve">Indicateur </w:t>
      </w:r>
      <w:r w:rsidR="007767E2">
        <w:rPr>
          <w:rFonts w:eastAsia="Times New Roman" w:cs="Times New Roman"/>
          <w:b/>
          <w:bCs/>
          <w:kern w:val="0"/>
          <w:lang w:eastAsia="fr-FR"/>
          <w14:ligatures w14:val="none"/>
        </w:rPr>
        <w:t xml:space="preserve">de </w:t>
      </w:r>
      <w:r w:rsidRPr="00B401B0">
        <w:rPr>
          <w:rFonts w:eastAsia="Times New Roman" w:cs="Times New Roman"/>
          <w:b/>
          <w:bCs/>
          <w:kern w:val="0"/>
          <w:lang w:eastAsia="fr-FR"/>
          <w14:ligatures w14:val="none"/>
        </w:rPr>
        <w:t xml:space="preserve">gestion des moyens : </w:t>
      </w:r>
      <w:r w:rsidRPr="00681FC0">
        <w:rPr>
          <w:rFonts w:eastAsia="Times New Roman" w:cs="Times New Roman"/>
          <w:b/>
          <w:bCs/>
          <w:kern w:val="0"/>
          <w:lang w:eastAsia="fr-FR"/>
          <w14:ligatures w14:val="none"/>
        </w:rPr>
        <w:t>le nombre moyen d’accompagnement par chargé de mission en Alsace est singulièrement faible</w:t>
      </w:r>
      <w:r w:rsidRPr="00B401B0">
        <w:rPr>
          <w:rFonts w:eastAsia="Times New Roman" w:cs="Times New Roman"/>
          <w:kern w:val="0"/>
          <w:lang w:eastAsia="fr-FR"/>
          <w14:ligatures w14:val="none"/>
        </w:rPr>
        <w:t xml:space="preserve">. </w:t>
      </w:r>
    </w:p>
    <w:p w14:paraId="68B3D2B7" w14:textId="041E03C8" w:rsidR="00CC6709" w:rsidRPr="00B7716D" w:rsidRDefault="00CC6709" w:rsidP="00CC6709">
      <w:pPr>
        <w:spacing w:before="100" w:beforeAutospacing="1" w:after="100" w:afterAutospacing="1" w:line="240" w:lineRule="auto"/>
        <w:jc w:val="both"/>
        <w:rPr>
          <w:rFonts w:eastAsia="Times New Roman" w:cs="Times New Roman"/>
          <w:b/>
          <w:bCs/>
          <w:kern w:val="0"/>
          <w:lang w:eastAsia="fr-FR"/>
          <w14:ligatures w14:val="none"/>
        </w:rPr>
      </w:pPr>
      <w:r w:rsidRPr="00B7716D">
        <w:rPr>
          <w:rFonts w:eastAsia="Times New Roman" w:cs="Times New Roman"/>
          <w:b/>
          <w:bCs/>
          <w:kern w:val="0"/>
          <w:lang w:eastAsia="fr-FR"/>
          <w14:ligatures w14:val="none"/>
        </w:rPr>
        <w:t xml:space="preserve">Données </w:t>
      </w:r>
      <w:r>
        <w:rPr>
          <w:rFonts w:eastAsia="Times New Roman" w:cs="Times New Roman"/>
          <w:b/>
          <w:bCs/>
          <w:kern w:val="0"/>
          <w:lang w:eastAsia="fr-FR"/>
          <w14:ligatures w14:val="none"/>
        </w:rPr>
        <w:t xml:space="preserve">d’activité </w:t>
      </w:r>
      <w:r w:rsidRPr="00B7716D">
        <w:rPr>
          <w:rFonts w:eastAsia="Times New Roman" w:cs="Times New Roman"/>
          <w:b/>
          <w:bCs/>
          <w:kern w:val="0"/>
          <w:lang w:eastAsia="fr-FR"/>
          <w14:ligatures w14:val="none"/>
        </w:rPr>
        <w:t>déclarée</w:t>
      </w:r>
      <w:r>
        <w:rPr>
          <w:rFonts w:eastAsia="Times New Roman" w:cs="Times New Roman"/>
          <w:b/>
          <w:bCs/>
          <w:kern w:val="0"/>
          <w:lang w:eastAsia="fr-FR"/>
          <w14:ligatures w14:val="none"/>
        </w:rPr>
        <w:t xml:space="preserve">s en Alsace </w:t>
      </w:r>
      <w:r w:rsidRPr="00B7716D">
        <w:rPr>
          <w:rFonts w:eastAsia="Times New Roman" w:cs="Times New Roman"/>
          <w:b/>
          <w:bCs/>
          <w:kern w:val="0"/>
          <w:lang w:eastAsia="fr-FR"/>
          <w14:ligatures w14:val="none"/>
        </w:rPr>
        <w:t>en 2023</w:t>
      </w:r>
      <w:r>
        <w:rPr>
          <w:rFonts w:eastAsia="Times New Roman" w:cs="Times New Roman"/>
          <w:b/>
          <w:bCs/>
          <w:kern w:val="0"/>
          <w:lang w:eastAsia="fr-FR"/>
          <w14:ligatures w14:val="none"/>
        </w:rPr>
        <w:t xml:space="preserve"> </w:t>
      </w:r>
      <w:r w:rsidRPr="00B7716D">
        <w:rPr>
          <w:rFonts w:eastAsia="Times New Roman" w:cs="Times New Roman"/>
          <w:b/>
          <w:bCs/>
          <w:kern w:val="0"/>
          <w:lang w:eastAsia="fr-FR"/>
          <w14:ligatures w14:val="none"/>
        </w:rPr>
        <w:t xml:space="preserve">: </w:t>
      </w:r>
    </w:p>
    <w:p w14:paraId="5AA78C07" w14:textId="77777777" w:rsidR="00CC6709" w:rsidRDefault="00CC6709" w:rsidP="00CC6709">
      <w:pPr>
        <w:spacing w:before="100" w:beforeAutospacing="1" w:after="100" w:afterAutospacing="1" w:line="240" w:lineRule="auto"/>
        <w:jc w:val="both"/>
        <w:outlineLvl w:val="2"/>
        <w:rPr>
          <w:rFonts w:eastAsia="Times New Roman" w:cs="Times New Roman"/>
          <w:kern w:val="0"/>
          <w:lang w:eastAsia="fr-FR"/>
          <w14:ligatures w14:val="none"/>
        </w:rPr>
      </w:pPr>
    </w:p>
    <w:p w14:paraId="010922EC" w14:textId="77777777" w:rsidR="00CC6709" w:rsidRDefault="00CC6709" w:rsidP="00CC6709">
      <w:pPr>
        <w:spacing w:before="100" w:beforeAutospacing="1" w:after="100" w:afterAutospacing="1" w:line="240" w:lineRule="auto"/>
        <w:jc w:val="center"/>
        <w:rPr>
          <w:rFonts w:eastAsia="Times New Roman" w:cs="Times New Roman"/>
          <w:kern w:val="0"/>
          <w:lang w:eastAsia="fr-FR"/>
          <w14:ligatures w14:val="none"/>
        </w:rPr>
      </w:pPr>
      <w:r w:rsidRPr="005F7442">
        <w:rPr>
          <w:noProof/>
        </w:rPr>
        <w:drawing>
          <wp:inline distT="0" distB="0" distL="0" distR="0" wp14:anchorId="568D6EA8" wp14:editId="0ADB0258">
            <wp:extent cx="4257675" cy="1152525"/>
            <wp:effectExtent l="0" t="0" r="9525" b="9525"/>
            <wp:docPr id="158897075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b="14789"/>
                    <a:stretch/>
                  </pic:blipFill>
                  <pic:spPr bwMode="auto">
                    <a:xfrm>
                      <a:off x="0" y="0"/>
                      <a:ext cx="4257675" cy="1152525"/>
                    </a:xfrm>
                    <a:prstGeom prst="rect">
                      <a:avLst/>
                    </a:prstGeom>
                    <a:noFill/>
                    <a:ln>
                      <a:noFill/>
                    </a:ln>
                    <a:extLst>
                      <a:ext uri="{53640926-AAD7-44D8-BBD7-CCE9431645EC}">
                        <a14:shadowObscured xmlns:a14="http://schemas.microsoft.com/office/drawing/2010/main"/>
                      </a:ext>
                    </a:extLst>
                  </pic:spPr>
                </pic:pic>
              </a:graphicData>
            </a:graphic>
          </wp:inline>
        </w:drawing>
      </w:r>
    </w:p>
    <w:p w14:paraId="477DA295" w14:textId="7F435DDF" w:rsidR="00B7716D" w:rsidRDefault="00B7716D" w:rsidP="00B7716D">
      <w:pPr>
        <w:spacing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Une centaine d’organisations ont été accueillies, cependant dire qu’une structure est accueillie ne signifie pas que celle-ci s’inscrit nécessairement dans un parcours d’accompagnement. Il est à comprendre ainsi que le nombre de diagnostics correspond au nombre d’accompagnements. </w:t>
      </w:r>
    </w:p>
    <w:p w14:paraId="0F90A55E" w14:textId="77777777" w:rsidR="00CC6709" w:rsidRDefault="00CC6709" w:rsidP="00CC670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Les postes de chargés de mission des deux départements alsaciens correspondent à 3 ETP, ce qui correspond à moins d’une vingtaine d’accompagnements par chargé de mission pour 2022 comme pour 2023. </w:t>
      </w:r>
    </w:p>
    <w:p w14:paraId="39D2F922" w14:textId="77777777" w:rsidR="00B7716D" w:rsidRDefault="00B7716D" w:rsidP="00B7716D">
      <w:pPr>
        <w:spacing w:after="100" w:afterAutospacing="1" w:line="240" w:lineRule="auto"/>
        <w:jc w:val="both"/>
        <w:rPr>
          <w:rFonts w:eastAsia="Times New Roman" w:cs="Times New Roman"/>
          <w:kern w:val="0"/>
          <w:lang w:eastAsia="fr-FR"/>
          <w14:ligatures w14:val="none"/>
        </w:rPr>
      </w:pPr>
    </w:p>
    <w:p w14:paraId="6DAC605F" w14:textId="77777777" w:rsidR="00B7716D" w:rsidRDefault="00B7716D" w:rsidP="00B7716D">
      <w:pPr>
        <w:spacing w:after="100" w:afterAutospacing="1" w:line="240" w:lineRule="auto"/>
        <w:jc w:val="both"/>
        <w:rPr>
          <w:rFonts w:eastAsia="Times New Roman" w:cs="Times New Roman"/>
          <w:kern w:val="0"/>
          <w:lang w:eastAsia="fr-FR"/>
          <w14:ligatures w14:val="none"/>
        </w:rPr>
      </w:pPr>
    </w:p>
    <w:p w14:paraId="08FA003F" w14:textId="77777777" w:rsidR="00B7716D" w:rsidRDefault="00B7716D" w:rsidP="00B7716D">
      <w:pPr>
        <w:spacing w:after="100" w:afterAutospacing="1" w:line="240" w:lineRule="auto"/>
        <w:jc w:val="both"/>
        <w:rPr>
          <w:rFonts w:eastAsia="Times New Roman" w:cs="Times New Roman"/>
          <w:kern w:val="0"/>
          <w:lang w:eastAsia="fr-FR"/>
          <w14:ligatures w14:val="none"/>
        </w:rPr>
      </w:pPr>
    </w:p>
    <w:p w14:paraId="79E81B5E" w14:textId="77777777" w:rsidR="00B7716D" w:rsidRPr="00801001" w:rsidRDefault="00B7716D" w:rsidP="00B7716D">
      <w:pPr>
        <w:spacing w:before="100" w:beforeAutospacing="1" w:after="100" w:afterAutospacing="1" w:line="240" w:lineRule="auto"/>
        <w:jc w:val="center"/>
        <w:rPr>
          <w:rFonts w:eastAsia="Times New Roman" w:cs="Times New Roman"/>
          <w:b/>
          <w:bCs/>
          <w:kern w:val="0"/>
          <w:lang w:eastAsia="fr-FR"/>
          <w14:ligatures w14:val="none"/>
        </w:rPr>
      </w:pPr>
      <w:r w:rsidRPr="00281234">
        <w:rPr>
          <w:rFonts w:eastAsia="Times New Roman" w:cs="Times New Roman"/>
          <w:b/>
          <w:bCs/>
          <w:kern w:val="0"/>
          <w:lang w:eastAsia="fr-FR"/>
          <w14:ligatures w14:val="none"/>
        </w:rPr>
        <w:t>Le parcours DLA</w:t>
      </w:r>
      <w:r>
        <w:rPr>
          <w:rFonts w:eastAsia="Times New Roman" w:cs="Times New Roman"/>
          <w:b/>
          <w:bCs/>
          <w:kern w:val="0"/>
          <w:lang w:eastAsia="fr-FR"/>
          <w14:ligatures w14:val="none"/>
        </w:rPr>
        <w:t xml:space="preserve"> - Avise</w:t>
      </w:r>
    </w:p>
    <w:p w14:paraId="586EE4FA" w14:textId="77777777" w:rsidR="00B7716D" w:rsidRDefault="00B7716D" w:rsidP="00B7716D">
      <w:pPr>
        <w:spacing w:after="100" w:afterAutospacing="1" w:line="240" w:lineRule="auto"/>
        <w:jc w:val="center"/>
        <w:rPr>
          <w:rFonts w:eastAsia="Times New Roman" w:cs="Times New Roman"/>
          <w:kern w:val="0"/>
          <w:lang w:eastAsia="fr-FR"/>
          <w14:ligatures w14:val="none"/>
        </w:rPr>
      </w:pPr>
      <w:r w:rsidRPr="00801001">
        <w:rPr>
          <w:rFonts w:eastAsia="Times New Roman" w:cs="Times New Roman"/>
          <w:noProof/>
          <w:kern w:val="0"/>
          <w:lang w:eastAsia="fr-FR"/>
          <w14:ligatures w14:val="none"/>
        </w:rPr>
        <w:drawing>
          <wp:inline distT="0" distB="0" distL="0" distR="0" wp14:anchorId="29CB3153" wp14:editId="733002AF">
            <wp:extent cx="4798060" cy="6698282"/>
            <wp:effectExtent l="0" t="0" r="2540" b="7620"/>
            <wp:docPr id="613655863" name="Image 1" descr="Une image contenant text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55863" name="Image 1" descr="Une image contenant texte, habits&#10;&#10;Le contenu généré par l’IA peut être incorrect."/>
                    <pic:cNvPicPr/>
                  </pic:nvPicPr>
                  <pic:blipFill>
                    <a:blip r:embed="rId8"/>
                    <a:stretch>
                      <a:fillRect/>
                    </a:stretch>
                  </pic:blipFill>
                  <pic:spPr>
                    <a:xfrm>
                      <a:off x="0" y="0"/>
                      <a:ext cx="4803666" cy="6706108"/>
                    </a:xfrm>
                    <a:prstGeom prst="rect">
                      <a:avLst/>
                    </a:prstGeom>
                  </pic:spPr>
                </pic:pic>
              </a:graphicData>
            </a:graphic>
          </wp:inline>
        </w:drawing>
      </w:r>
    </w:p>
    <w:p w14:paraId="5D05C0D3" w14:textId="77777777" w:rsidR="00B7716D" w:rsidRPr="003A0204" w:rsidRDefault="00B7716D" w:rsidP="00B7716D">
      <w:pPr>
        <w:spacing w:before="100" w:beforeAutospacing="1" w:after="100" w:afterAutospacing="1" w:line="240" w:lineRule="auto"/>
        <w:jc w:val="both"/>
      </w:pPr>
    </w:p>
    <w:p w14:paraId="40C34920" w14:textId="77777777" w:rsidR="00B7716D" w:rsidRDefault="00B7716D" w:rsidP="00B7716D">
      <w:pPr>
        <w:spacing w:before="100" w:beforeAutospacing="1" w:after="100" w:afterAutospacing="1" w:line="240" w:lineRule="auto"/>
        <w:jc w:val="center"/>
        <w:rPr>
          <w:rFonts w:eastAsia="Times New Roman" w:cs="Times New Roman"/>
          <w:kern w:val="0"/>
          <w:lang w:eastAsia="fr-FR"/>
          <w14:ligatures w14:val="none"/>
        </w:rPr>
      </w:pPr>
      <w:r>
        <w:rPr>
          <w:rFonts w:eastAsia="Times New Roman" w:cs="Times New Roman"/>
          <w:noProof/>
          <w:kern w:val="0"/>
          <w:lang w:eastAsia="fr-FR"/>
          <w14:ligatures w14:val="none"/>
        </w:rPr>
        <w:lastRenderedPageBreak/>
        <w:drawing>
          <wp:inline distT="0" distB="0" distL="0" distR="0" wp14:anchorId="13E3E2FF" wp14:editId="28880803">
            <wp:extent cx="5335270" cy="3010643"/>
            <wp:effectExtent l="0" t="0" r="0" b="0"/>
            <wp:docPr id="887474213" name="Image 15" descr="Une image contenant capture d’écran,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4213" name="Image 15" descr="Une image contenant capture d’écran, diagramme, conception&#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940" cy="3027386"/>
                    </a:xfrm>
                    <a:prstGeom prst="rect">
                      <a:avLst/>
                    </a:prstGeom>
                    <a:noFill/>
                  </pic:spPr>
                </pic:pic>
              </a:graphicData>
            </a:graphic>
          </wp:inline>
        </w:drawing>
      </w:r>
    </w:p>
    <w:p w14:paraId="1ED92EBD" w14:textId="77777777" w:rsidR="00B7716D" w:rsidRPr="003A0204" w:rsidRDefault="00B7716D" w:rsidP="00B7716D">
      <w:pPr>
        <w:spacing w:before="100" w:beforeAutospacing="1" w:after="100" w:afterAutospacing="1" w:line="240" w:lineRule="auto"/>
        <w:jc w:val="center"/>
        <w:rPr>
          <w:rFonts w:eastAsia="Times New Roman" w:cs="Times New Roman"/>
          <w:b/>
          <w:bCs/>
          <w:kern w:val="0"/>
          <w:sz w:val="20"/>
          <w:szCs w:val="20"/>
          <w:lang w:eastAsia="fr-FR"/>
          <w14:ligatures w14:val="none"/>
        </w:rPr>
      </w:pPr>
      <w:r w:rsidRPr="003A0204">
        <w:rPr>
          <w:rFonts w:eastAsia="Times New Roman" w:cs="Times New Roman"/>
          <w:b/>
          <w:bCs/>
          <w:kern w:val="0"/>
          <w:sz w:val="20"/>
          <w:szCs w:val="20"/>
          <w:lang w:eastAsia="fr-FR"/>
          <w14:ligatures w14:val="none"/>
        </w:rPr>
        <w:t>Nombre d’accompagnement DLA par chargé de Mission au National – IGAS 2012</w:t>
      </w:r>
    </w:p>
    <w:p w14:paraId="0CE2C189" w14:textId="51521091" w:rsidR="00B7716D" w:rsidRDefault="00713107"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 rapport de l’IGAS donne un jalon de référence : p</w:t>
      </w:r>
      <w:r w:rsidR="00B7716D">
        <w:rPr>
          <w:rFonts w:eastAsia="Times New Roman" w:cs="Times New Roman"/>
          <w:kern w:val="0"/>
          <w:lang w:eastAsia="fr-FR"/>
          <w14:ligatures w14:val="none"/>
        </w:rPr>
        <w:t>our la période 2008-2010, nous observons que moins de 5% des opérateurs ont un nombre d’accompagnements par chargé de missions inférieur à 2</w:t>
      </w:r>
      <w:r w:rsidR="00205706">
        <w:rPr>
          <w:rFonts w:eastAsia="Times New Roman" w:cs="Times New Roman"/>
          <w:kern w:val="0"/>
          <w:lang w:eastAsia="fr-FR"/>
          <w14:ligatures w14:val="none"/>
        </w:rPr>
        <w:t>5</w:t>
      </w:r>
      <w:r w:rsidR="00B7716D">
        <w:rPr>
          <w:rFonts w:eastAsia="Times New Roman" w:cs="Times New Roman"/>
          <w:kern w:val="0"/>
          <w:lang w:eastAsia="fr-FR"/>
          <w14:ligatures w14:val="none"/>
        </w:rPr>
        <w:t xml:space="preserve">. </w:t>
      </w:r>
      <w:r>
        <w:rPr>
          <w:rFonts w:eastAsia="Times New Roman" w:cs="Times New Roman"/>
          <w:kern w:val="0"/>
          <w:lang w:eastAsia="fr-FR"/>
          <w14:ligatures w14:val="none"/>
        </w:rPr>
        <w:t>En conséquence l</w:t>
      </w:r>
      <w:r w:rsidR="00B7716D">
        <w:rPr>
          <w:rFonts w:eastAsia="Times New Roman" w:cs="Times New Roman"/>
          <w:kern w:val="0"/>
          <w:lang w:eastAsia="fr-FR"/>
          <w14:ligatures w14:val="none"/>
        </w:rPr>
        <w:t xml:space="preserve">e niveau constaté en Alsace interroge par son écart singulier à la moyenne. </w:t>
      </w:r>
    </w:p>
    <w:p w14:paraId="72275313" w14:textId="66FA3E97" w:rsidR="00B7716D" w:rsidRPr="00681FC0" w:rsidRDefault="00B7716D" w:rsidP="00B401B0">
      <w:pPr>
        <w:pStyle w:val="Paragraphedeliste"/>
        <w:numPr>
          <w:ilvl w:val="0"/>
          <w:numId w:val="3"/>
        </w:numPr>
        <w:pBdr>
          <w:top w:val="single" w:sz="4" w:space="1" w:color="0F4761" w:themeColor="accent1" w:themeShade="BF"/>
          <w:left w:val="single" w:sz="4" w:space="4" w:color="0F4761" w:themeColor="accent1" w:themeShade="BF"/>
          <w:bottom w:val="single" w:sz="4" w:space="1" w:color="0F4761" w:themeColor="accent1" w:themeShade="BF"/>
          <w:right w:val="single" w:sz="4" w:space="4" w:color="0F4761" w:themeColor="accent1" w:themeShade="BF"/>
        </w:pBdr>
        <w:spacing w:before="100" w:beforeAutospacing="1" w:after="100" w:afterAutospacing="1" w:line="240" w:lineRule="auto"/>
        <w:jc w:val="both"/>
        <w:rPr>
          <w:rFonts w:cs="Segoe UI Emoji"/>
          <w:b/>
          <w:bCs/>
        </w:rPr>
      </w:pPr>
      <w:bookmarkStart w:id="0" w:name="_Hlk193979174"/>
      <w:r w:rsidRPr="00B401B0">
        <w:rPr>
          <w:rFonts w:eastAsia="Times New Roman" w:cs="Times New Roman"/>
          <w:b/>
          <w:bCs/>
          <w:kern w:val="0"/>
          <w:lang w:eastAsia="fr-FR"/>
          <w14:ligatures w14:val="none"/>
        </w:rPr>
        <w:t xml:space="preserve">Indicateur d’efficacité budgétaire : </w:t>
      </w:r>
      <w:bookmarkEnd w:id="0"/>
      <w:r w:rsidRPr="00681FC0">
        <w:rPr>
          <w:rFonts w:eastAsia="Times New Roman" w:cs="Times New Roman"/>
          <w:b/>
          <w:bCs/>
          <w:kern w:val="0"/>
          <w:lang w:eastAsia="fr-FR"/>
          <w14:ligatures w14:val="none"/>
        </w:rPr>
        <w:t>La hausse du budget DLA en 2023 (+2</w:t>
      </w:r>
      <w:r w:rsidR="00BA23FE">
        <w:rPr>
          <w:rFonts w:eastAsia="Times New Roman" w:cs="Times New Roman"/>
          <w:b/>
          <w:bCs/>
          <w:kern w:val="0"/>
          <w:lang w:eastAsia="fr-FR"/>
          <w14:ligatures w14:val="none"/>
        </w:rPr>
        <w:t>5</w:t>
      </w:r>
      <w:r w:rsidRPr="00681FC0">
        <w:rPr>
          <w:rFonts w:eastAsia="Times New Roman" w:cs="Times New Roman"/>
          <w:b/>
          <w:bCs/>
          <w:kern w:val="0"/>
          <w:lang w:eastAsia="fr-FR"/>
          <w14:ligatures w14:val="none"/>
        </w:rPr>
        <w:t xml:space="preserve">%) n’a pas induit un accroissement de prescriptions de prestations en </w:t>
      </w:r>
      <w:r w:rsidR="00B03329" w:rsidRPr="00681FC0">
        <w:rPr>
          <w:rFonts w:eastAsia="Times New Roman" w:cs="Times New Roman"/>
          <w:b/>
          <w:bCs/>
          <w:kern w:val="0"/>
          <w:lang w:eastAsia="fr-FR"/>
          <w14:ligatures w14:val="none"/>
        </w:rPr>
        <w:t>Alsace.</w:t>
      </w:r>
    </w:p>
    <w:p w14:paraId="69AAE37B" w14:textId="6F5364F4" w:rsidR="00B7716D" w:rsidRPr="000B4670" w:rsidRDefault="00B7716D" w:rsidP="00B7716D">
      <w:pPr>
        <w:spacing w:before="100" w:beforeAutospacing="1" w:after="100" w:afterAutospacing="1" w:line="240" w:lineRule="auto"/>
        <w:jc w:val="both"/>
        <w:outlineLvl w:val="3"/>
        <w:rPr>
          <w:rFonts w:eastAsia="Times New Roman" w:cs="Times New Roman"/>
          <w:kern w:val="0"/>
          <w:lang w:eastAsia="fr-FR"/>
          <w14:ligatures w14:val="none"/>
        </w:rPr>
      </w:pPr>
      <w:r>
        <w:rPr>
          <w:rFonts w:eastAsia="Times New Roman" w:cs="Times New Roman"/>
          <w:kern w:val="0"/>
          <w:lang w:eastAsia="fr-FR"/>
          <w14:ligatures w14:val="none"/>
        </w:rPr>
        <w:t>Malgré un budget 2023 en hausse de l’ordre de 100k€ par rapport à celui de 2022 (</w:t>
      </w:r>
      <w:r w:rsidR="00BA23FE">
        <w:rPr>
          <w:rFonts w:eastAsia="Times New Roman" w:cs="Times New Roman"/>
          <w:kern w:val="0"/>
          <w:lang w:eastAsia="fr-FR"/>
          <w14:ligatures w14:val="none"/>
        </w:rPr>
        <w:t>55</w:t>
      </w:r>
      <w:r w:rsidR="004D0B28">
        <w:rPr>
          <w:rFonts w:eastAsia="Times New Roman" w:cs="Times New Roman"/>
          <w:kern w:val="0"/>
          <w:lang w:eastAsia="fr-FR"/>
          <w14:ligatures w14:val="none"/>
        </w:rPr>
        <w:t>2 388</w:t>
      </w:r>
      <w:r w:rsidR="00BA23FE">
        <w:rPr>
          <w:rFonts w:eastAsia="Times New Roman" w:cs="Times New Roman"/>
          <w:kern w:val="0"/>
          <w:lang w:eastAsia="fr-FR"/>
          <w14:ligatures w14:val="none"/>
        </w:rPr>
        <w:t xml:space="preserve"> € en 2023 vs 4</w:t>
      </w:r>
      <w:r w:rsidR="004D0B28">
        <w:rPr>
          <w:rFonts w:eastAsia="Times New Roman" w:cs="Times New Roman"/>
          <w:kern w:val="0"/>
          <w:lang w:eastAsia="fr-FR"/>
          <w14:ligatures w14:val="none"/>
        </w:rPr>
        <w:t xml:space="preserve">36 </w:t>
      </w:r>
      <w:r w:rsidR="00B03329">
        <w:rPr>
          <w:rFonts w:eastAsia="Times New Roman" w:cs="Times New Roman"/>
          <w:kern w:val="0"/>
          <w:lang w:eastAsia="fr-FR"/>
          <w14:ligatures w14:val="none"/>
        </w:rPr>
        <w:t>800 €</w:t>
      </w:r>
      <w:r w:rsidR="00BA23FE">
        <w:rPr>
          <w:rFonts w:eastAsia="Times New Roman" w:cs="Times New Roman"/>
          <w:kern w:val="0"/>
          <w:lang w:eastAsia="fr-FR"/>
          <w14:ligatures w14:val="none"/>
        </w:rPr>
        <w:t xml:space="preserve"> en 2022</w:t>
      </w:r>
      <w:r>
        <w:rPr>
          <w:rFonts w:eastAsia="Times New Roman" w:cs="Times New Roman"/>
          <w:kern w:val="0"/>
          <w:lang w:eastAsia="fr-FR"/>
          <w14:ligatures w14:val="none"/>
        </w:rPr>
        <w:t>)</w:t>
      </w:r>
      <w:r w:rsidR="003500FB">
        <w:rPr>
          <w:rFonts w:eastAsia="Times New Roman" w:cs="Times New Roman"/>
          <w:kern w:val="0"/>
          <w:lang w:eastAsia="fr-FR"/>
          <w14:ligatures w14:val="none"/>
        </w:rPr>
        <w:t>,</w:t>
      </w:r>
      <w:r>
        <w:rPr>
          <w:rFonts w:eastAsia="Times New Roman" w:cs="Times New Roman"/>
          <w:kern w:val="0"/>
          <w:lang w:eastAsia="fr-FR"/>
          <w14:ligatures w14:val="none"/>
        </w:rPr>
        <w:t xml:space="preserve"> l’activité DLA au niveau de l’ingénierie est constante en Alsace. Cette hausse correspond à un différentiel d’une vingtaine de prestations au prix moyen 2023 constaté en Grand Est.</w:t>
      </w:r>
    </w:p>
    <w:p w14:paraId="5BE5CEF5" w14:textId="47C0C7F2" w:rsidR="00B7716D" w:rsidRPr="00B401B0" w:rsidRDefault="00B7716D" w:rsidP="00B401B0">
      <w:pPr>
        <w:pStyle w:val="Paragraphedeliste"/>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rPr>
      </w:pPr>
      <w:r w:rsidRPr="00B401B0">
        <w:rPr>
          <w:rFonts w:eastAsia="Times New Roman" w:cs="Times New Roman"/>
          <w:b/>
          <w:bCs/>
          <w:kern w:val="0"/>
          <w:lang w:eastAsia="fr-FR"/>
          <w14:ligatures w14:val="none"/>
        </w:rPr>
        <w:t xml:space="preserve">Indicateur Efficacité budgétaire : </w:t>
      </w:r>
      <w:r w:rsidRPr="00681FC0">
        <w:rPr>
          <w:rFonts w:eastAsia="Times New Roman" w:cs="Times New Roman"/>
          <w:b/>
          <w:bCs/>
          <w:kern w:val="0"/>
          <w:lang w:eastAsia="fr-FR"/>
          <w14:ligatures w14:val="none"/>
        </w:rPr>
        <w:t xml:space="preserve">Le Ratio Honoraires </w:t>
      </w:r>
      <w:r w:rsidR="00713107" w:rsidRPr="00681FC0">
        <w:rPr>
          <w:rFonts w:eastAsia="Times New Roman" w:cs="Times New Roman"/>
          <w:b/>
          <w:bCs/>
          <w:kern w:val="0"/>
          <w:lang w:eastAsia="fr-FR"/>
          <w14:ligatures w14:val="none"/>
        </w:rPr>
        <w:t>p</w:t>
      </w:r>
      <w:r w:rsidRPr="00681FC0">
        <w:rPr>
          <w:rFonts w:eastAsia="Times New Roman" w:cs="Times New Roman"/>
          <w:b/>
          <w:bCs/>
          <w:kern w:val="0"/>
          <w:lang w:eastAsia="fr-FR"/>
          <w14:ligatures w14:val="none"/>
        </w:rPr>
        <w:t xml:space="preserve">restataires / Frais de fonctionnement DLA GE établit à 36% montre un </w:t>
      </w:r>
      <w:r w:rsidRPr="00681FC0">
        <w:rPr>
          <w:rStyle w:val="lev"/>
        </w:rPr>
        <w:t>écart substantiel</w:t>
      </w:r>
      <w:r w:rsidRPr="00681FC0">
        <w:rPr>
          <w:b/>
          <w:bCs/>
        </w:rPr>
        <w:t xml:space="preserve"> aux attentes, et laisse indiquer une singularité dans la stratégie </w:t>
      </w:r>
      <w:r w:rsidR="00B03329" w:rsidRPr="00681FC0">
        <w:rPr>
          <w:b/>
          <w:bCs/>
        </w:rPr>
        <w:t>budgétaire</w:t>
      </w:r>
      <w:r w:rsidR="00B03329" w:rsidRPr="00B401B0">
        <w:rPr>
          <w:b/>
          <w:bCs/>
        </w:rPr>
        <w:t>.</w:t>
      </w:r>
    </w:p>
    <w:p w14:paraId="4755018D" w14:textId="5BAA32E8" w:rsidR="00CC6709" w:rsidRPr="00CC6709" w:rsidRDefault="00CC6709" w:rsidP="00CC6709">
      <w:pPr>
        <w:spacing w:before="100" w:beforeAutospacing="1" w:after="100" w:afterAutospacing="1" w:line="240" w:lineRule="auto"/>
        <w:jc w:val="both"/>
        <w:rPr>
          <w:rFonts w:eastAsia="Times New Roman" w:cs="Times New Roman"/>
          <w:b/>
          <w:bCs/>
          <w:kern w:val="0"/>
          <w:lang w:eastAsia="fr-FR"/>
          <w14:ligatures w14:val="none"/>
        </w:rPr>
      </w:pPr>
      <w:r w:rsidRPr="00CC6709">
        <w:rPr>
          <w:rFonts w:eastAsia="Times New Roman" w:cs="Times New Roman"/>
          <w:b/>
          <w:bCs/>
          <w:kern w:val="0"/>
          <w:lang w:eastAsia="fr-FR"/>
          <w14:ligatures w14:val="none"/>
        </w:rPr>
        <w:t xml:space="preserve">Données déclarées : </w:t>
      </w:r>
    </w:p>
    <w:p w14:paraId="5BE60379" w14:textId="1E166311" w:rsidR="00CC6709" w:rsidRPr="00B7716D" w:rsidRDefault="00CC6709" w:rsidP="00CC6709">
      <w:pPr>
        <w:spacing w:before="100" w:beforeAutospacing="1" w:after="100" w:afterAutospacing="1" w:line="240" w:lineRule="auto"/>
        <w:jc w:val="both"/>
        <w:rPr>
          <w:rFonts w:eastAsia="Times New Roman" w:cs="Times New Roman"/>
          <w:kern w:val="0"/>
          <w:lang w:eastAsia="fr-FR"/>
          <w14:ligatures w14:val="none"/>
        </w:rPr>
      </w:pPr>
      <w:r w:rsidRPr="00B7716D">
        <w:rPr>
          <w:rFonts w:eastAsia="Times New Roman" w:cs="Times New Roman"/>
          <w:kern w:val="0"/>
          <w:lang w:eastAsia="fr-FR"/>
          <w14:ligatures w14:val="none"/>
        </w:rPr>
        <w:t>Le DLAR GE déclare 633 structures bénéficiaires d’un accompagnement DLA et 131 prestations de consultants pour 2023 en Grand Est</w:t>
      </w:r>
      <w:r>
        <w:rPr>
          <w:rFonts w:eastAsia="Times New Roman" w:cs="Times New Roman"/>
          <w:kern w:val="0"/>
          <w:lang w:eastAsia="fr-FR"/>
          <w14:ligatures w14:val="none"/>
        </w:rPr>
        <w:t xml:space="preserve"> – pour un montant moyen de 5 125 € </w:t>
      </w:r>
      <w:r w:rsidR="00B03329">
        <w:rPr>
          <w:rFonts w:eastAsia="Times New Roman" w:cs="Times New Roman"/>
          <w:kern w:val="0"/>
          <w:lang w:eastAsia="fr-FR"/>
          <w14:ligatures w14:val="none"/>
        </w:rPr>
        <w:t xml:space="preserve">d’honoraires </w:t>
      </w:r>
      <w:r w:rsidR="00B03329" w:rsidRPr="00B7716D">
        <w:rPr>
          <w:rFonts w:eastAsia="Times New Roman" w:cs="Times New Roman"/>
          <w:kern w:val="0"/>
          <w:lang w:eastAsia="fr-FR"/>
          <w14:ligatures w14:val="none"/>
        </w:rPr>
        <w:t>prestataires</w:t>
      </w:r>
      <w:r>
        <w:rPr>
          <w:rFonts w:eastAsia="Times New Roman" w:cs="Times New Roman"/>
          <w:kern w:val="0"/>
          <w:lang w:eastAsia="fr-FR"/>
          <w14:ligatures w14:val="none"/>
        </w:rPr>
        <w:t xml:space="preserve">. </w:t>
      </w:r>
    </w:p>
    <w:p w14:paraId="1A416EB7" w14:textId="4B65BCDC" w:rsidR="00B7716D" w:rsidRDefault="00B7716D" w:rsidP="00B7716D">
      <w:pPr>
        <w:spacing w:before="100" w:beforeAutospacing="1" w:after="100" w:afterAutospacing="1" w:line="240" w:lineRule="auto"/>
        <w:jc w:val="both"/>
        <w:rPr>
          <w:rFonts w:eastAsia="Times New Roman" w:cs="Times New Roman"/>
          <w:b/>
          <w:bCs/>
          <w:kern w:val="0"/>
          <w:lang w:eastAsia="fr-FR"/>
          <w14:ligatures w14:val="none"/>
        </w:rPr>
      </w:pPr>
      <w:r w:rsidRPr="004B101A">
        <w:rPr>
          <w:rFonts w:eastAsia="Times New Roman" w:cs="Times New Roman"/>
          <w:b/>
          <w:bCs/>
          <w:kern w:val="0"/>
          <w:lang w:eastAsia="fr-FR"/>
          <w14:ligatures w14:val="none"/>
        </w:rPr>
        <w:t xml:space="preserve">Les Budgets cibles de Opérateurs DLA : </w:t>
      </w:r>
    </w:p>
    <w:p w14:paraId="71C97DCD" w14:textId="6CFB6AB9" w:rsidR="00B401B0" w:rsidRPr="00FE000D" w:rsidRDefault="00B401B0" w:rsidP="00FE000D">
      <w:pPr>
        <w:spacing w:before="100" w:beforeAutospacing="1" w:after="100" w:afterAutospacing="1"/>
        <w:jc w:val="both"/>
        <w:rPr>
          <w:rFonts w:eastAsia="Times New Roman" w:cs="Times New Roman"/>
          <w:kern w:val="0"/>
          <w:lang w:eastAsia="fr-FR"/>
          <w14:ligatures w14:val="none"/>
        </w:rPr>
      </w:pPr>
      <w:r>
        <w:rPr>
          <w:rFonts w:eastAsia="Times New Roman" w:cs="Times New Roman"/>
          <w:kern w:val="0"/>
          <w:lang w:eastAsia="fr-FR"/>
          <w14:ligatures w14:val="none"/>
        </w:rPr>
        <w:t xml:space="preserve">L’AVISE rappelle régulièrement les cibles budgétaires à atteindre. La mise à jour 2021 du Cadre d’Action National du DLA reprécisant ci-contre les objectifs à atteindre.  </w:t>
      </w:r>
    </w:p>
    <w:p w14:paraId="5EBA6838" w14:textId="303D056F" w:rsidR="00B401B0" w:rsidRDefault="00B401B0" w:rsidP="00B401B0">
      <w:pPr>
        <w:spacing w:before="100" w:beforeAutospacing="1" w:after="100" w:afterAutospacing="1" w:line="240" w:lineRule="auto"/>
        <w:jc w:val="center"/>
        <w:outlineLvl w:val="3"/>
        <w:rPr>
          <w:rFonts w:eastAsia="Times New Roman" w:cs="Times New Roman"/>
          <w:kern w:val="0"/>
          <w:lang w:eastAsia="fr-FR"/>
          <w14:ligatures w14:val="none"/>
        </w:rPr>
      </w:pPr>
      <w:r>
        <w:rPr>
          <w:rFonts w:eastAsia="Times New Roman" w:cs="Times New Roman"/>
          <w:noProof/>
          <w:kern w:val="0"/>
          <w:lang w:eastAsia="fr-FR"/>
          <w14:ligatures w14:val="none"/>
        </w:rPr>
        <w:lastRenderedPageBreak/>
        <w:drawing>
          <wp:inline distT="0" distB="0" distL="0" distR="0" wp14:anchorId="30064C0A" wp14:editId="7CF18586">
            <wp:extent cx="4235222" cy="2214986"/>
            <wp:effectExtent l="0" t="0" r="0" b="0"/>
            <wp:docPr id="1719832533" name="Image 6" descr="Une image contenant texte, Police, capture d’écran, carte de vis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32533" name="Image 6" descr="Une image contenant texte, Police, capture d’écran, carte de visit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0840" cy="2228384"/>
                    </a:xfrm>
                    <a:prstGeom prst="rect">
                      <a:avLst/>
                    </a:prstGeom>
                    <a:noFill/>
                  </pic:spPr>
                </pic:pic>
              </a:graphicData>
            </a:graphic>
          </wp:inline>
        </w:drawing>
      </w:r>
    </w:p>
    <w:p w14:paraId="6980638E" w14:textId="6E75C9A7" w:rsidR="00B7716D" w:rsidRPr="00CC6709" w:rsidRDefault="00B7716D" w:rsidP="00B7716D">
      <w:pPr>
        <w:spacing w:before="100" w:beforeAutospacing="1" w:after="100" w:afterAutospacing="1" w:line="240" w:lineRule="auto"/>
        <w:jc w:val="both"/>
        <w:outlineLvl w:val="3"/>
        <w:rPr>
          <w:rFonts w:eastAsia="Times New Roman" w:cs="Times New Roman"/>
          <w:kern w:val="0"/>
          <w:lang w:eastAsia="fr-FR"/>
          <w14:ligatures w14:val="none"/>
        </w:rPr>
      </w:pPr>
      <w:r>
        <w:rPr>
          <w:rFonts w:eastAsia="Times New Roman" w:cs="Times New Roman"/>
          <w:kern w:val="0"/>
          <w:lang w:eastAsia="fr-FR"/>
          <w14:ligatures w14:val="none"/>
        </w:rPr>
        <w:t xml:space="preserve">Les objectifs de répartition budgétaire exprimés par l’Avise se traduisent de manière équivalente en considérant </w:t>
      </w:r>
      <w:r w:rsidRPr="00CC6709">
        <w:rPr>
          <w:rFonts w:eastAsia="Times New Roman" w:cs="Times New Roman"/>
          <w:kern w:val="0"/>
          <w:lang w:eastAsia="fr-FR"/>
          <w14:ligatures w14:val="none"/>
        </w:rPr>
        <w:t xml:space="preserve">le Ratio Honoraires </w:t>
      </w:r>
      <w:r w:rsidR="00713107">
        <w:rPr>
          <w:rFonts w:eastAsia="Times New Roman" w:cs="Times New Roman"/>
          <w:kern w:val="0"/>
          <w:lang w:eastAsia="fr-FR"/>
          <w14:ligatures w14:val="none"/>
        </w:rPr>
        <w:t>p</w:t>
      </w:r>
      <w:r w:rsidRPr="00CC6709">
        <w:rPr>
          <w:rFonts w:eastAsia="Times New Roman" w:cs="Times New Roman"/>
          <w:kern w:val="0"/>
          <w:lang w:eastAsia="fr-FR"/>
          <w14:ligatures w14:val="none"/>
        </w:rPr>
        <w:t xml:space="preserve">restataires / Frais de </w:t>
      </w:r>
      <w:r w:rsidR="00B03329" w:rsidRPr="00CC6709">
        <w:rPr>
          <w:rFonts w:eastAsia="Times New Roman" w:cs="Times New Roman"/>
          <w:kern w:val="0"/>
          <w:lang w:eastAsia="fr-FR"/>
          <w14:ligatures w14:val="none"/>
        </w:rPr>
        <w:t>fonctionnement avec</w:t>
      </w:r>
      <w:r w:rsidRPr="00CC6709">
        <w:rPr>
          <w:rFonts w:eastAsia="Times New Roman" w:cs="Times New Roman"/>
          <w:kern w:val="0"/>
          <w:lang w:eastAsia="fr-FR"/>
          <w14:ligatures w14:val="none"/>
        </w:rPr>
        <w:t xml:space="preserve"> un seuil minimal de 67% pour la cible basse (40%-60%), et de 82% pour la cible haute (45%-55%).</w:t>
      </w:r>
    </w:p>
    <w:p w14:paraId="7D78320C" w14:textId="77777777" w:rsidR="00B7716D" w:rsidRPr="003D26F7" w:rsidRDefault="00B7716D" w:rsidP="00B7716D">
      <w:pPr>
        <w:spacing w:before="100" w:beforeAutospacing="1" w:after="100" w:afterAutospacing="1" w:line="240" w:lineRule="auto"/>
        <w:jc w:val="both"/>
        <w:rPr>
          <w:rFonts w:eastAsia="Times New Roman" w:cs="Times New Roman"/>
          <w:b/>
          <w:bCs/>
          <w:kern w:val="0"/>
          <w:lang w:eastAsia="fr-FR"/>
          <w14:ligatures w14:val="none"/>
        </w:rPr>
      </w:pPr>
      <w:r w:rsidRPr="003D26F7">
        <w:rPr>
          <w:rFonts w:eastAsia="Times New Roman" w:cs="Times New Roman"/>
          <w:b/>
          <w:bCs/>
          <w:kern w:val="0"/>
          <w:lang w:eastAsia="fr-FR"/>
          <w14:ligatures w14:val="none"/>
        </w:rPr>
        <w:t xml:space="preserve">Les prévisionnels budgétaires </w:t>
      </w:r>
      <w:r>
        <w:rPr>
          <w:rFonts w:eastAsia="Times New Roman" w:cs="Times New Roman"/>
          <w:b/>
          <w:bCs/>
          <w:kern w:val="0"/>
          <w:lang w:eastAsia="fr-FR"/>
          <w14:ligatures w14:val="none"/>
        </w:rPr>
        <w:t xml:space="preserve">DLA </w:t>
      </w:r>
      <w:r w:rsidRPr="003D26F7">
        <w:rPr>
          <w:rFonts w:eastAsia="Times New Roman" w:cs="Times New Roman"/>
          <w:b/>
          <w:bCs/>
          <w:kern w:val="0"/>
          <w:lang w:eastAsia="fr-FR"/>
          <w14:ligatures w14:val="none"/>
        </w:rPr>
        <w:t xml:space="preserve">2023 en Grand Est : </w:t>
      </w:r>
    </w:p>
    <w:p w14:paraId="0724F30B"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sidRPr="00D059B6">
        <w:rPr>
          <w:rFonts w:eastAsia="Times New Roman" w:cs="Times New Roman"/>
          <w:kern w:val="0"/>
          <w:lang w:eastAsia="fr-FR"/>
          <w14:ligatures w14:val="none"/>
        </w:rPr>
        <w:t xml:space="preserve">Le budget </w:t>
      </w:r>
      <w:r>
        <w:rPr>
          <w:rFonts w:eastAsia="Times New Roman" w:cs="Times New Roman"/>
          <w:kern w:val="0"/>
          <w:lang w:eastAsia="fr-FR"/>
          <w14:ligatures w14:val="none"/>
        </w:rPr>
        <w:t xml:space="preserve">prévisionnel 2023 </w:t>
      </w:r>
      <w:r w:rsidRPr="00D059B6">
        <w:rPr>
          <w:rFonts w:eastAsia="Times New Roman" w:cs="Times New Roman"/>
          <w:kern w:val="0"/>
          <w:lang w:eastAsia="fr-FR"/>
          <w14:ligatures w14:val="none"/>
        </w:rPr>
        <w:t>du DLA</w:t>
      </w:r>
      <w:r>
        <w:rPr>
          <w:rFonts w:eastAsia="Times New Roman" w:cs="Times New Roman"/>
          <w:kern w:val="0"/>
          <w:lang w:eastAsia="fr-FR"/>
          <w14:ligatures w14:val="none"/>
        </w:rPr>
        <w:t xml:space="preserve"> est</w:t>
      </w:r>
      <w:r w:rsidRPr="00D059B6">
        <w:rPr>
          <w:rFonts w:eastAsia="Times New Roman" w:cs="Times New Roman"/>
          <w:kern w:val="0"/>
          <w:lang w:eastAsia="fr-FR"/>
          <w14:ligatures w14:val="none"/>
        </w:rPr>
        <w:t xml:space="preserve"> </w:t>
      </w:r>
      <w:r>
        <w:rPr>
          <w:rFonts w:eastAsia="Times New Roman" w:cs="Times New Roman"/>
          <w:kern w:val="0"/>
          <w:lang w:eastAsia="fr-FR"/>
          <w14:ligatures w14:val="none"/>
        </w:rPr>
        <w:t>de l’ordre de</w:t>
      </w:r>
      <w:r w:rsidRPr="00D059B6">
        <w:rPr>
          <w:rFonts w:eastAsia="Times New Roman" w:cs="Times New Roman"/>
          <w:kern w:val="0"/>
          <w:lang w:eastAsia="fr-FR"/>
          <w14:ligatures w14:val="none"/>
        </w:rPr>
        <w:t xml:space="preserve"> 2</w:t>
      </w:r>
      <w:r>
        <w:rPr>
          <w:rFonts w:eastAsia="Times New Roman" w:cs="Times New Roman"/>
          <w:kern w:val="0"/>
          <w:lang w:eastAsia="fr-FR"/>
          <w14:ligatures w14:val="none"/>
        </w:rPr>
        <w:t>,5 M</w:t>
      </w:r>
      <w:r w:rsidRPr="00D059B6">
        <w:rPr>
          <w:rFonts w:eastAsia="Times New Roman" w:cs="Times New Roman"/>
          <w:kern w:val="0"/>
          <w:lang w:eastAsia="fr-FR"/>
          <w14:ligatures w14:val="none"/>
        </w:rPr>
        <w:t>€</w:t>
      </w:r>
      <w:r>
        <w:rPr>
          <w:rFonts w:eastAsia="Times New Roman" w:cs="Times New Roman"/>
          <w:kern w:val="0"/>
          <w:lang w:eastAsia="fr-FR"/>
          <w14:ligatures w14:val="none"/>
        </w:rPr>
        <w:t xml:space="preserve"> en incluant le budget du DLAR. </w:t>
      </w:r>
    </w:p>
    <w:p w14:paraId="2F8CAA10" w14:textId="42130F28"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sidRPr="00C146BC">
        <w:rPr>
          <w:rFonts w:eastAsia="Times New Roman" w:cs="Times New Roman"/>
          <w:kern w:val="0"/>
          <w:lang w:eastAsia="fr-FR"/>
          <w14:ligatures w14:val="none"/>
        </w:rPr>
        <w:t xml:space="preserve">Nous pouvons estimer le budget prévisionnel </w:t>
      </w:r>
      <w:r w:rsidR="00713107">
        <w:rPr>
          <w:rFonts w:eastAsia="Times New Roman" w:cs="Times New Roman"/>
          <w:kern w:val="0"/>
          <w:lang w:eastAsia="fr-FR"/>
          <w14:ligatures w14:val="none"/>
        </w:rPr>
        <w:t>pour la région</w:t>
      </w:r>
      <w:r w:rsidRPr="00C146BC">
        <w:rPr>
          <w:rFonts w:eastAsia="Times New Roman" w:cs="Times New Roman"/>
          <w:kern w:val="0"/>
          <w:lang w:eastAsia="fr-FR"/>
          <w14:ligatures w14:val="none"/>
        </w:rPr>
        <w:t xml:space="preserve"> Grand Est en intégrant le budget prévisionnel du DLAR </w:t>
      </w:r>
      <w:r w:rsidR="00B03329" w:rsidRPr="00C146BC">
        <w:rPr>
          <w:rFonts w:eastAsia="Times New Roman" w:cs="Times New Roman"/>
          <w:kern w:val="0"/>
          <w:lang w:eastAsia="fr-FR"/>
          <w14:ligatures w14:val="none"/>
        </w:rPr>
        <w:t>à partir</w:t>
      </w:r>
      <w:r w:rsidRPr="00C146BC">
        <w:rPr>
          <w:rFonts w:eastAsia="Times New Roman" w:cs="Times New Roman"/>
          <w:kern w:val="0"/>
          <w:lang w:eastAsia="fr-FR"/>
          <w14:ligatures w14:val="none"/>
        </w:rPr>
        <w:t xml:space="preserve"> des éléments financiers communiqués au Conseil régional par la CRESS Grand Est : </w:t>
      </w:r>
    </w:p>
    <w:p w14:paraId="42650313" w14:textId="77777777" w:rsidR="00B7716D" w:rsidRDefault="00B7716D" w:rsidP="00B7716D">
      <w:pPr>
        <w:spacing w:before="100" w:beforeAutospacing="1" w:after="100" w:afterAutospacing="1" w:line="240" w:lineRule="auto"/>
        <w:jc w:val="center"/>
        <w:rPr>
          <w:rFonts w:eastAsia="Times New Roman" w:cs="Times New Roman"/>
          <w:kern w:val="0"/>
          <w:lang w:eastAsia="fr-FR"/>
          <w14:ligatures w14:val="none"/>
        </w:rPr>
      </w:pPr>
      <w:r w:rsidRPr="0091588E">
        <w:rPr>
          <w:noProof/>
        </w:rPr>
        <w:drawing>
          <wp:inline distT="0" distB="0" distL="0" distR="0" wp14:anchorId="4F7342B6" wp14:editId="13D31490">
            <wp:extent cx="5304494" cy="2920551"/>
            <wp:effectExtent l="0" t="0" r="0" b="0"/>
            <wp:docPr id="1126215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2355" cy="2924879"/>
                    </a:xfrm>
                    <a:prstGeom prst="rect">
                      <a:avLst/>
                    </a:prstGeom>
                    <a:noFill/>
                    <a:ln>
                      <a:noFill/>
                    </a:ln>
                  </pic:spPr>
                </pic:pic>
              </a:graphicData>
            </a:graphic>
          </wp:inline>
        </w:drawing>
      </w:r>
    </w:p>
    <w:p w14:paraId="3833D2E2" w14:textId="4C38D7AF" w:rsidR="00B7716D" w:rsidRPr="00C146BC"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Les prévisionnels budgétaires transmis au Conseil régional intègre le ratio étudié </w:t>
      </w:r>
      <w:r w:rsidR="00B03329">
        <w:rPr>
          <w:rFonts w:eastAsia="Times New Roman" w:cs="Times New Roman"/>
          <w:kern w:val="0"/>
          <w:lang w:eastAsia="fr-FR"/>
          <w14:ligatures w14:val="none"/>
        </w:rPr>
        <w:t>en termes</w:t>
      </w:r>
      <w:r>
        <w:rPr>
          <w:rFonts w:eastAsia="Times New Roman" w:cs="Times New Roman"/>
          <w:kern w:val="0"/>
          <w:lang w:eastAsia="fr-FR"/>
          <w14:ligatures w14:val="none"/>
        </w:rPr>
        <w:t xml:space="preserve"> d’objectif. Il est à préciser que l</w:t>
      </w:r>
      <w:r w:rsidRPr="00C146BC">
        <w:rPr>
          <w:rFonts w:eastAsia="Times New Roman" w:cs="Times New Roman"/>
          <w:kern w:val="0"/>
          <w:lang w:eastAsia="fr-FR"/>
          <w14:ligatures w14:val="none"/>
        </w:rPr>
        <w:t>e ratio global</w:t>
      </w:r>
      <w:r>
        <w:rPr>
          <w:rFonts w:eastAsia="Times New Roman" w:cs="Times New Roman"/>
          <w:kern w:val="0"/>
          <w:lang w:eastAsia="fr-FR"/>
          <w14:ligatures w14:val="none"/>
        </w:rPr>
        <w:t xml:space="preserve"> prévu à 60%, </w:t>
      </w:r>
      <w:r w:rsidRPr="00C146BC">
        <w:rPr>
          <w:rFonts w:eastAsia="Times New Roman" w:cs="Times New Roman"/>
          <w:kern w:val="0"/>
          <w:lang w:eastAsia="fr-FR"/>
          <w14:ligatures w14:val="none"/>
        </w:rPr>
        <w:t xml:space="preserve">ne figure pas explicitement dans les conventions de financement régionales. </w:t>
      </w:r>
      <w:r>
        <w:rPr>
          <w:rFonts w:eastAsia="Times New Roman" w:cs="Times New Roman"/>
          <w:kern w:val="0"/>
          <w:lang w:eastAsia="fr-FR"/>
          <w14:ligatures w14:val="none"/>
        </w:rPr>
        <w:t>Retenons qu’il est attendu un ratio de 66% au niveau des DLAD pour l’exercice 2023.</w:t>
      </w:r>
    </w:p>
    <w:p w14:paraId="372DFFEB" w14:textId="77777777" w:rsidR="00B7716D" w:rsidRPr="00C146BC" w:rsidRDefault="00B7716D" w:rsidP="00B7716D">
      <w:pPr>
        <w:spacing w:before="100" w:beforeAutospacing="1" w:after="100" w:afterAutospacing="1" w:line="240" w:lineRule="auto"/>
        <w:jc w:val="both"/>
        <w:rPr>
          <w:rFonts w:eastAsia="Times New Roman" w:cs="Times New Roman"/>
          <w:b/>
          <w:bCs/>
          <w:kern w:val="0"/>
          <w:lang w:eastAsia="fr-FR"/>
          <w14:ligatures w14:val="none"/>
        </w:rPr>
      </w:pPr>
      <w:r w:rsidRPr="00C146BC">
        <w:rPr>
          <w:rFonts w:eastAsia="Times New Roman" w:cs="Times New Roman"/>
          <w:b/>
          <w:bCs/>
          <w:kern w:val="0"/>
          <w:lang w:eastAsia="fr-FR"/>
          <w14:ligatures w14:val="none"/>
        </w:rPr>
        <w:lastRenderedPageBreak/>
        <w:t xml:space="preserve">Analyse de la réalisation budgétaire 2023 : </w:t>
      </w:r>
    </w:p>
    <w:p w14:paraId="7ABFAFB6" w14:textId="7F2E76A6"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Les données communiquées par le DLAR permettent d’établir le ratio au niveau global (les dix DLAD + DLAR). </w:t>
      </w:r>
      <w:r w:rsidR="00B03329">
        <w:rPr>
          <w:rFonts w:eastAsia="Times New Roman" w:cs="Times New Roman"/>
          <w:kern w:val="0"/>
          <w:lang w:eastAsia="fr-FR"/>
          <w14:ligatures w14:val="none"/>
        </w:rPr>
        <w:t>Avec des</w:t>
      </w:r>
      <w:r>
        <w:rPr>
          <w:rFonts w:eastAsia="Times New Roman" w:cs="Times New Roman"/>
          <w:kern w:val="0"/>
          <w:lang w:eastAsia="fr-FR"/>
          <w14:ligatures w14:val="none"/>
        </w:rPr>
        <w:t xml:space="preserve"> frais de fonctionnement des opérateurs à 73% du budget, et des honoraires des prestataires à 27% du budget, le budget DLA Grand Est se retrouve en dehors des cibles :</w:t>
      </w:r>
    </w:p>
    <w:p w14:paraId="26C4D50D" w14:textId="77777777" w:rsidR="00B7716D" w:rsidRPr="003E0184" w:rsidRDefault="00B7716D" w:rsidP="00B7716D">
      <w:pPr>
        <w:spacing w:before="100" w:beforeAutospacing="1" w:after="100" w:afterAutospacing="1" w:line="240" w:lineRule="auto"/>
        <w:jc w:val="center"/>
        <w:outlineLvl w:val="3"/>
        <w:rPr>
          <w:rFonts w:eastAsia="Times New Roman" w:cs="Times New Roman"/>
          <w:kern w:val="0"/>
          <w:lang w:eastAsia="fr-FR"/>
          <w14:ligatures w14:val="none"/>
        </w:rPr>
      </w:pPr>
      <w:r w:rsidRPr="00A07C92">
        <w:rPr>
          <w:noProof/>
        </w:rPr>
        <w:drawing>
          <wp:inline distT="0" distB="0" distL="0" distR="0" wp14:anchorId="23C8A6FD" wp14:editId="63BB071C">
            <wp:extent cx="5334000" cy="809625"/>
            <wp:effectExtent l="0" t="0" r="0" b="9525"/>
            <wp:docPr id="10681255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809625"/>
                    </a:xfrm>
                    <a:prstGeom prst="rect">
                      <a:avLst/>
                    </a:prstGeom>
                    <a:noFill/>
                    <a:ln>
                      <a:noFill/>
                    </a:ln>
                  </pic:spPr>
                </pic:pic>
              </a:graphicData>
            </a:graphic>
          </wp:inline>
        </w:drawing>
      </w:r>
    </w:p>
    <w:p w14:paraId="682E17FB" w14:textId="0DAABC1A" w:rsidR="00B7716D" w:rsidRDefault="00B7716D" w:rsidP="00B7716D">
      <w:pPr>
        <w:spacing w:before="100" w:beforeAutospacing="1" w:after="100" w:afterAutospacing="1" w:line="240" w:lineRule="auto"/>
        <w:jc w:val="both"/>
        <w:outlineLvl w:val="3"/>
        <w:rPr>
          <w:rFonts w:eastAsia="Times New Roman" w:cs="Times New Roman"/>
          <w:noProof/>
          <w:kern w:val="0"/>
          <w:lang w:eastAsia="fr-FR"/>
          <w14:ligatures w14:val="none"/>
        </w:rPr>
      </w:pPr>
      <w:r w:rsidRPr="0075739E">
        <w:rPr>
          <w:rFonts w:eastAsia="Times New Roman" w:cs="Times New Roman"/>
          <w:kern w:val="0"/>
          <w:lang w:eastAsia="fr-FR"/>
          <w14:ligatures w14:val="none"/>
        </w:rPr>
        <w:t xml:space="preserve">Le ratio </w:t>
      </w:r>
      <w:r w:rsidRPr="0075739E">
        <w:rPr>
          <w:rFonts w:eastAsia="Times New Roman" w:cs="Times New Roman"/>
          <w:noProof/>
          <w:kern w:val="0"/>
          <w:lang w:eastAsia="fr-FR"/>
          <w14:ligatures w14:val="none"/>
        </w:rPr>
        <w:t xml:space="preserve">Honoraires Prestataires / Frais de fonctionnement </w:t>
      </w:r>
      <w:r>
        <w:rPr>
          <w:rFonts w:eastAsia="Times New Roman" w:cs="Times New Roman"/>
          <w:noProof/>
          <w:kern w:val="0"/>
          <w:lang w:eastAsia="fr-FR"/>
          <w14:ligatures w14:val="none"/>
        </w:rPr>
        <w:t xml:space="preserve">réalisé établi </w:t>
      </w:r>
      <w:r w:rsidRPr="0075739E">
        <w:rPr>
          <w:rFonts w:eastAsia="Times New Roman" w:cs="Times New Roman"/>
          <w:noProof/>
          <w:kern w:val="0"/>
          <w:lang w:eastAsia="fr-FR"/>
          <w14:ligatures w14:val="none"/>
        </w:rPr>
        <w:t>à 36% est nettement inférieur</w:t>
      </w:r>
      <w:r>
        <w:rPr>
          <w:rFonts w:eastAsia="Times New Roman" w:cs="Times New Roman"/>
          <w:noProof/>
          <w:kern w:val="0"/>
          <w:lang w:eastAsia="fr-FR"/>
          <w14:ligatures w14:val="none"/>
        </w:rPr>
        <w:t xml:space="preserve"> au 60% indiqué en prévision. </w:t>
      </w:r>
    </w:p>
    <w:p w14:paraId="4B5AE43B" w14:textId="77777777" w:rsidR="00B7716D" w:rsidRDefault="00B7716D" w:rsidP="00B7716D">
      <w:pPr>
        <w:spacing w:before="100" w:beforeAutospacing="1" w:after="100" w:afterAutospacing="1" w:line="240" w:lineRule="auto"/>
        <w:jc w:val="both"/>
        <w:outlineLvl w:val="3"/>
        <w:rPr>
          <w:rFonts w:eastAsia="Times New Roman" w:cs="Times New Roman"/>
          <w:kern w:val="0"/>
          <w:lang w:eastAsia="fr-FR"/>
          <w14:ligatures w14:val="none"/>
        </w:rPr>
      </w:pPr>
      <w:r>
        <w:rPr>
          <w:rFonts w:eastAsia="Times New Roman" w:cs="Times New Roman"/>
          <w:kern w:val="0"/>
          <w:lang w:eastAsia="fr-FR"/>
          <w14:ligatures w14:val="none"/>
        </w:rPr>
        <w:t>Au niveau des dix DLAD pour lesquels un objectif de 66% était prévu,</w:t>
      </w:r>
      <w:r w:rsidRPr="00A07C92">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leur réalité budgétaire 2023   s’estime à partir du nombre de prestations DLAR prévues en 2022 : </w:t>
      </w:r>
    </w:p>
    <w:p w14:paraId="78F2826C" w14:textId="77777777" w:rsidR="00B7716D" w:rsidRDefault="00B7716D" w:rsidP="00B7716D">
      <w:pPr>
        <w:spacing w:before="100" w:beforeAutospacing="1" w:after="100" w:afterAutospacing="1" w:line="240" w:lineRule="auto"/>
        <w:jc w:val="center"/>
        <w:outlineLvl w:val="3"/>
        <w:rPr>
          <w:rFonts w:eastAsia="Times New Roman" w:cs="Times New Roman"/>
          <w:kern w:val="0"/>
          <w:lang w:eastAsia="fr-FR"/>
          <w14:ligatures w14:val="none"/>
        </w:rPr>
      </w:pPr>
      <w:r w:rsidRPr="00A07C92">
        <w:rPr>
          <w:noProof/>
        </w:rPr>
        <w:drawing>
          <wp:inline distT="0" distB="0" distL="0" distR="0" wp14:anchorId="190C96CA" wp14:editId="13018027">
            <wp:extent cx="5334000" cy="800100"/>
            <wp:effectExtent l="0" t="0" r="0" b="0"/>
            <wp:docPr id="5246576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800100"/>
                    </a:xfrm>
                    <a:prstGeom prst="rect">
                      <a:avLst/>
                    </a:prstGeom>
                    <a:noFill/>
                    <a:ln>
                      <a:noFill/>
                    </a:ln>
                  </pic:spPr>
                </pic:pic>
              </a:graphicData>
            </a:graphic>
          </wp:inline>
        </w:drawing>
      </w:r>
    </w:p>
    <w:p w14:paraId="0A826505" w14:textId="6FACE1F4" w:rsidR="00B7716D" w:rsidRPr="00B7716D" w:rsidRDefault="00B7716D" w:rsidP="00B7716D">
      <w:pPr>
        <w:spacing w:before="100" w:beforeAutospacing="1" w:after="100" w:afterAutospacing="1" w:line="240" w:lineRule="auto"/>
        <w:jc w:val="both"/>
        <w:outlineLvl w:val="3"/>
        <w:rPr>
          <w:rFonts w:eastAsia="Times New Roman" w:cs="Times New Roman"/>
          <w:kern w:val="0"/>
          <w:lang w:eastAsia="fr-FR"/>
          <w14:ligatures w14:val="none"/>
        </w:rPr>
      </w:pPr>
      <w:r w:rsidRPr="00B7716D">
        <w:rPr>
          <w:rFonts w:eastAsia="Times New Roman" w:cs="Times New Roman"/>
          <w:kern w:val="0"/>
          <w:lang w:eastAsia="fr-FR"/>
          <w14:ligatures w14:val="none"/>
        </w:rPr>
        <w:t xml:space="preserve">Avec un ratio de 38%, l’activité 2023 des DLAD est </w:t>
      </w:r>
      <w:r w:rsidR="00B03329" w:rsidRPr="00B7716D">
        <w:rPr>
          <w:rFonts w:eastAsia="Times New Roman" w:cs="Times New Roman"/>
          <w:kern w:val="0"/>
          <w:lang w:eastAsia="fr-FR"/>
          <w14:ligatures w14:val="none"/>
        </w:rPr>
        <w:t xml:space="preserve">significativement </w:t>
      </w:r>
      <w:r w:rsidR="00B03329" w:rsidRPr="00B7716D">
        <w:rPr>
          <w:rFonts w:eastAsia="Times New Roman" w:cs="Times New Roman"/>
          <w:noProof/>
          <w:kern w:val="0"/>
          <w:lang w:eastAsia="fr-FR"/>
          <w14:ligatures w14:val="none"/>
        </w:rPr>
        <w:t>sous</w:t>
      </w:r>
      <w:r w:rsidRPr="00B7716D">
        <w:rPr>
          <w:rFonts w:eastAsia="Times New Roman" w:cs="Times New Roman"/>
          <w:noProof/>
          <w:kern w:val="0"/>
          <w:lang w:eastAsia="fr-FR"/>
          <w14:ligatures w14:val="none"/>
        </w:rPr>
        <w:t xml:space="preserve"> les objectifs de la convention de financement régionale du Grand Est.</w:t>
      </w:r>
    </w:p>
    <w:p w14:paraId="4E669E43" w14:textId="3EF04719" w:rsidR="00B7716D" w:rsidRDefault="00B7716D" w:rsidP="00B7716D">
      <w:pPr>
        <w:spacing w:before="100" w:beforeAutospacing="1" w:after="100" w:afterAutospacing="1" w:line="240" w:lineRule="auto"/>
        <w:jc w:val="both"/>
        <w:outlineLvl w:val="3"/>
        <w:rPr>
          <w:rFonts w:eastAsia="Times New Roman" w:cs="Times New Roman"/>
          <w:noProof/>
          <w:kern w:val="0"/>
          <w:lang w:eastAsia="fr-FR"/>
          <w14:ligatures w14:val="none"/>
        </w:rPr>
      </w:pPr>
      <w:r>
        <w:rPr>
          <w:rFonts w:eastAsia="Times New Roman" w:cs="Times New Roman"/>
          <w:noProof/>
          <w:kern w:val="0"/>
          <w:lang w:eastAsia="fr-FR"/>
          <w14:ligatures w14:val="none"/>
        </w:rPr>
        <w:t xml:space="preserve">Un point de référence interpelle : sur les années 2008 à 2010, moins de 7% des opérateurs affichent un ratio à 50%, alors qu’aujourd’hui le DLA GE représente autour de 8% des opérateurs nationaux. </w:t>
      </w:r>
    </w:p>
    <w:p w14:paraId="51D24ED3" w14:textId="77777777" w:rsidR="00B7716D" w:rsidRDefault="00B7716D" w:rsidP="00B7716D">
      <w:pPr>
        <w:spacing w:before="100" w:beforeAutospacing="1" w:after="100" w:afterAutospacing="1" w:line="240" w:lineRule="auto"/>
        <w:jc w:val="center"/>
        <w:outlineLvl w:val="3"/>
        <w:rPr>
          <w:rFonts w:eastAsia="Times New Roman" w:cs="Times New Roman"/>
          <w:kern w:val="0"/>
          <w:lang w:eastAsia="fr-FR"/>
          <w14:ligatures w14:val="none"/>
        </w:rPr>
      </w:pPr>
      <w:bookmarkStart w:id="1" w:name="_Hlk194051961"/>
      <w:r>
        <w:rPr>
          <w:rFonts w:eastAsia="Times New Roman" w:cs="Times New Roman"/>
          <w:noProof/>
          <w:kern w:val="0"/>
          <w:lang w:eastAsia="fr-FR"/>
          <w14:ligatures w14:val="none"/>
        </w:rPr>
        <w:drawing>
          <wp:inline distT="0" distB="0" distL="0" distR="0" wp14:anchorId="3B9E178F" wp14:editId="477C4A18">
            <wp:extent cx="4422443" cy="2500321"/>
            <wp:effectExtent l="0" t="0" r="0" b="0"/>
            <wp:docPr id="1205830613" name="Image 12" descr="Une image contenant texte, capture d’écran,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30613" name="Image 12" descr="Une image contenant texte, capture d’écran, diagramme, conception&#10;&#10;Le contenu généré par l’IA peut être incorrect."/>
                    <pic:cNvPicPr>
                      <a:picLocks noChangeAspect="1" noChangeArrowheads="1"/>
                    </pic:cNvPicPr>
                  </pic:nvPicPr>
                  <pic:blipFill rotWithShape="1">
                    <a:blip r:embed="rId14">
                      <a:extLst>
                        <a:ext uri="{28A0092B-C50C-407E-A947-70E740481C1C}">
                          <a14:useLocalDpi xmlns:a14="http://schemas.microsoft.com/office/drawing/2010/main" val="0"/>
                        </a:ext>
                      </a:extLst>
                    </a:blip>
                    <a:srcRect b="8621"/>
                    <a:stretch/>
                  </pic:blipFill>
                  <pic:spPr bwMode="auto">
                    <a:xfrm>
                      <a:off x="0" y="0"/>
                      <a:ext cx="4445818" cy="2513537"/>
                    </a:xfrm>
                    <a:prstGeom prst="rect">
                      <a:avLst/>
                    </a:prstGeom>
                    <a:noFill/>
                    <a:ln>
                      <a:noFill/>
                    </a:ln>
                    <a:extLst>
                      <a:ext uri="{53640926-AAD7-44D8-BBD7-CCE9431645EC}">
                        <a14:shadowObscured xmlns:a14="http://schemas.microsoft.com/office/drawing/2010/main"/>
                      </a:ext>
                    </a:extLst>
                  </pic:spPr>
                </pic:pic>
              </a:graphicData>
            </a:graphic>
          </wp:inline>
        </w:drawing>
      </w:r>
    </w:p>
    <w:p w14:paraId="0C26D05E" w14:textId="1FE0B328" w:rsidR="00B7716D" w:rsidRPr="00D059B6" w:rsidRDefault="00B7716D" w:rsidP="00B7716D">
      <w:pPr>
        <w:spacing w:before="100" w:beforeAutospacing="1" w:after="100" w:afterAutospacing="1" w:line="240" w:lineRule="auto"/>
        <w:jc w:val="center"/>
        <w:outlineLvl w:val="3"/>
        <w:rPr>
          <w:rFonts w:eastAsia="Times New Roman" w:cs="Times New Roman"/>
          <w:b/>
          <w:bCs/>
          <w:kern w:val="0"/>
          <w:sz w:val="20"/>
          <w:szCs w:val="20"/>
          <w:lang w:eastAsia="fr-FR"/>
          <w14:ligatures w14:val="none"/>
        </w:rPr>
      </w:pPr>
      <w:r w:rsidRPr="00FC0F00">
        <w:rPr>
          <w:rFonts w:eastAsia="Times New Roman" w:cs="Times New Roman"/>
          <w:b/>
          <w:bCs/>
          <w:kern w:val="0"/>
          <w:sz w:val="20"/>
          <w:szCs w:val="20"/>
          <w:lang w:eastAsia="fr-FR"/>
          <w14:ligatures w14:val="none"/>
        </w:rPr>
        <w:t xml:space="preserve">Ratio Honoraires Prestataires / Frais de fonctionnement Opérateurs- </w:t>
      </w:r>
      <w:r w:rsidRPr="003A0204">
        <w:rPr>
          <w:rFonts w:eastAsia="Times New Roman" w:cs="Times New Roman"/>
          <w:b/>
          <w:bCs/>
          <w:kern w:val="0"/>
          <w:sz w:val="20"/>
          <w:szCs w:val="20"/>
          <w:lang w:eastAsia="fr-FR"/>
          <w14:ligatures w14:val="none"/>
        </w:rPr>
        <w:t>IGAS 2012</w:t>
      </w:r>
    </w:p>
    <w:bookmarkEnd w:id="1"/>
    <w:p w14:paraId="3CE94A81" w14:textId="3C8B915C" w:rsidR="00B7716D" w:rsidRDefault="00436FEB" w:rsidP="00B7716D">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 xml:space="preserve">La </w:t>
      </w:r>
      <w:r w:rsidR="00B7716D" w:rsidRPr="00254C99">
        <w:rPr>
          <w:rFonts w:eastAsia="Times New Roman" w:cs="Times New Roman"/>
          <w:kern w:val="0"/>
          <w:lang w:eastAsia="fr-FR"/>
          <w14:ligatures w14:val="none"/>
        </w:rPr>
        <w:t>figure</w:t>
      </w:r>
      <w:r>
        <w:rPr>
          <w:rFonts w:eastAsia="Times New Roman" w:cs="Times New Roman"/>
          <w:kern w:val="0"/>
          <w:lang w:eastAsia="fr-FR"/>
          <w14:ligatures w14:val="none"/>
        </w:rPr>
        <w:t xml:space="preserve"> </w:t>
      </w:r>
      <w:r w:rsidR="00B03329">
        <w:rPr>
          <w:rFonts w:eastAsia="Times New Roman" w:cs="Times New Roman"/>
          <w:kern w:val="0"/>
          <w:lang w:eastAsia="fr-FR"/>
          <w14:ligatures w14:val="none"/>
        </w:rPr>
        <w:t xml:space="preserve">est </w:t>
      </w:r>
      <w:r w:rsidR="00B03329" w:rsidRPr="00254C99">
        <w:rPr>
          <w:rFonts w:eastAsia="Times New Roman" w:cs="Times New Roman"/>
          <w:kern w:val="0"/>
          <w:lang w:eastAsia="fr-FR"/>
          <w14:ligatures w14:val="none"/>
        </w:rPr>
        <w:t>extraite</w:t>
      </w:r>
      <w:r w:rsidR="00B7716D" w:rsidRPr="00254C99">
        <w:rPr>
          <w:rFonts w:eastAsia="Times New Roman" w:cs="Times New Roman"/>
          <w:kern w:val="0"/>
          <w:lang w:eastAsia="fr-FR"/>
          <w14:ligatures w14:val="none"/>
        </w:rPr>
        <w:t xml:space="preserve"> de la base de données Enée </w:t>
      </w:r>
      <w:r w:rsidR="00B7716D">
        <w:rPr>
          <w:rFonts w:eastAsia="Times New Roman" w:cs="Times New Roman"/>
          <w:kern w:val="0"/>
          <w:lang w:eastAsia="fr-FR"/>
          <w14:ligatures w14:val="none"/>
        </w:rPr>
        <w:t>gérée par le pilote national</w:t>
      </w:r>
      <w:r>
        <w:rPr>
          <w:rFonts w:eastAsia="Times New Roman" w:cs="Times New Roman"/>
          <w:kern w:val="0"/>
          <w:lang w:eastAsia="fr-FR"/>
          <w14:ligatures w14:val="none"/>
        </w:rPr>
        <w:t>. Elle</w:t>
      </w:r>
      <w:r w:rsidR="00B7716D">
        <w:rPr>
          <w:rFonts w:eastAsia="Times New Roman" w:cs="Times New Roman"/>
          <w:kern w:val="0"/>
          <w:lang w:eastAsia="fr-FR"/>
          <w14:ligatures w14:val="none"/>
        </w:rPr>
        <w:t xml:space="preserve"> </w:t>
      </w:r>
      <w:r w:rsidR="00B7716D" w:rsidRPr="00254C99">
        <w:rPr>
          <w:rFonts w:eastAsia="Times New Roman" w:cs="Times New Roman"/>
          <w:kern w:val="0"/>
          <w:lang w:eastAsia="fr-FR"/>
          <w14:ligatures w14:val="none"/>
        </w:rPr>
        <w:t>rend compte de la dynamique de dégradation du ratio sur la période 2008-2010</w:t>
      </w:r>
      <w:r w:rsidR="00B7716D">
        <w:rPr>
          <w:rFonts w:eastAsia="Times New Roman" w:cs="Times New Roman"/>
          <w:kern w:val="0"/>
          <w:lang w:eastAsia="fr-FR"/>
          <w14:ligatures w14:val="none"/>
        </w:rPr>
        <w:t xml:space="preserve">, provoquant ainsi la mission de l’IGAS en 2011. </w:t>
      </w:r>
    </w:p>
    <w:p w14:paraId="7EA25BC7" w14:textId="77777777" w:rsidR="00B7716D" w:rsidRDefault="00B7716D" w:rsidP="00B7716D">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2D8C9DCB" w14:textId="46698FF7" w:rsidR="00B7716D" w:rsidRDefault="00B7716D" w:rsidP="00B401B0">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E</w:t>
      </w:r>
      <w:r w:rsidRPr="00254C99">
        <w:rPr>
          <w:rFonts w:eastAsia="Times New Roman" w:cs="Times New Roman"/>
          <w:kern w:val="0"/>
          <w:lang w:eastAsia="fr-FR"/>
          <w14:ligatures w14:val="none"/>
        </w:rPr>
        <w:t>n parallèle de ce phénomène global</w:t>
      </w:r>
      <w:r>
        <w:rPr>
          <w:rFonts w:eastAsia="Times New Roman" w:cs="Times New Roman"/>
          <w:kern w:val="0"/>
          <w:lang w:eastAsia="fr-FR"/>
          <w14:ligatures w14:val="none"/>
        </w:rPr>
        <w:t xml:space="preserve"> </w:t>
      </w:r>
      <w:r w:rsidRPr="00254C99">
        <w:rPr>
          <w:rFonts w:eastAsia="Times New Roman" w:cs="Times New Roman"/>
          <w:kern w:val="0"/>
          <w:lang w:eastAsia="fr-FR"/>
          <w14:ligatures w14:val="none"/>
        </w:rPr>
        <w:t>Il est à noter, un auto ajustement au niveau de la queue gauche représentant les opérateurs ayant le ratio le plus faible.</w:t>
      </w:r>
    </w:p>
    <w:p w14:paraId="49743A61" w14:textId="77777777" w:rsidR="00B401B0" w:rsidRPr="00B401B0" w:rsidRDefault="00B401B0" w:rsidP="00B401B0">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068E3051" w14:textId="77777777" w:rsidR="00B7716D" w:rsidRPr="00B401B0" w:rsidRDefault="00B7716D" w:rsidP="00B401B0">
      <w:pPr>
        <w:pStyle w:val="Paragraphedeliste"/>
        <w:numPr>
          <w:ilvl w:val="0"/>
          <w:numId w:val="2"/>
        </w:numPr>
        <w:spacing w:before="100" w:beforeAutospacing="1" w:after="100" w:afterAutospacing="1" w:line="240" w:lineRule="auto"/>
        <w:rPr>
          <w:rFonts w:eastAsia="Times New Roman" w:cs="Times New Roman"/>
          <w:b/>
          <w:bCs/>
          <w:kern w:val="0"/>
          <w:lang w:eastAsia="fr-FR"/>
          <w14:ligatures w14:val="none"/>
        </w:rPr>
      </w:pPr>
      <w:r w:rsidRPr="00B401B0">
        <w:rPr>
          <w:rFonts w:eastAsia="Times New Roman" w:cs="Times New Roman"/>
          <w:b/>
          <w:bCs/>
          <w:kern w:val="0"/>
          <w:lang w:eastAsia="fr-FR"/>
          <w14:ligatures w14:val="none"/>
        </w:rPr>
        <w:t>Analyse financière France Active Alsace – 2020 à 2023</w:t>
      </w:r>
    </w:p>
    <w:p w14:paraId="17E0566A" w14:textId="77777777" w:rsidR="00B7716D" w:rsidRPr="00B7716D" w:rsidRDefault="00B7716D" w:rsidP="00B7716D">
      <w:pPr>
        <w:rPr>
          <w:rFonts w:eastAsia="Times New Roman" w:cs="Times New Roman"/>
          <w:b/>
          <w:bCs/>
          <w:kern w:val="0"/>
          <w:lang w:eastAsia="fr-FR"/>
          <w14:ligatures w14:val="none"/>
        </w:rPr>
      </w:pPr>
      <w:r w:rsidRPr="00B7716D">
        <w:rPr>
          <w:rFonts w:eastAsia="Times New Roman" w:cs="Times New Roman"/>
          <w:b/>
          <w:bCs/>
          <w:kern w:val="0"/>
          <w:lang w:eastAsia="fr-FR"/>
          <w14:ligatures w14:val="none"/>
        </w:rPr>
        <w:t xml:space="preserve">Données étudiées : </w:t>
      </w:r>
    </w:p>
    <w:p w14:paraId="145FE2D3" w14:textId="44D75728" w:rsidR="00B7716D" w:rsidRDefault="00B7716D" w:rsidP="00B7716D">
      <w:pPr>
        <w:spacing w:after="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Comptes de 2020 à 2023 de France Active Alsace publiés au Journal Officiel des Associations et des Fondations. Ce sont les seuls comptes disponibles et les comptes 2022 sont les seuls qui soient détaillés.</w:t>
      </w:r>
    </w:p>
    <w:p w14:paraId="7DB6E17A" w14:textId="77777777" w:rsidR="00FE000D" w:rsidRDefault="00FE000D" w:rsidP="00B7716D">
      <w:pPr>
        <w:spacing w:after="0" w:line="240" w:lineRule="auto"/>
        <w:jc w:val="both"/>
        <w:rPr>
          <w:rFonts w:eastAsia="Times New Roman" w:cs="Times New Roman"/>
          <w:kern w:val="0"/>
          <w:lang w:eastAsia="fr-FR"/>
          <w14:ligatures w14:val="none"/>
        </w:rPr>
      </w:pPr>
    </w:p>
    <w:p w14:paraId="3DC0A763" w14:textId="21926F6D" w:rsidR="00FE000D" w:rsidRPr="00FE000D" w:rsidRDefault="00FE000D" w:rsidP="00FE000D">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color w:val="000000"/>
          <w:kern w:val="0"/>
          <w:lang w:eastAsia="fr-FR"/>
          <w14:ligatures w14:val="none"/>
        </w:rPr>
      </w:pPr>
      <w:r w:rsidRPr="00FE000D">
        <w:rPr>
          <w:rFonts w:eastAsia="Times New Roman" w:cs="Times New Roman"/>
          <w:b/>
          <w:bCs/>
          <w:color w:val="000000"/>
          <w:kern w:val="0"/>
          <w:lang w:eastAsia="fr-FR"/>
          <w14:ligatures w14:val="none"/>
        </w:rPr>
        <w:t>CR</w:t>
      </w:r>
      <w:r>
        <w:rPr>
          <w:rFonts w:eastAsia="Times New Roman" w:cs="Times New Roman"/>
          <w:b/>
          <w:bCs/>
          <w:color w:val="000000"/>
          <w:kern w:val="0"/>
          <w:lang w:eastAsia="fr-FR"/>
          <w14:ligatures w14:val="none"/>
        </w:rPr>
        <w:t xml:space="preserve"> - </w:t>
      </w:r>
      <w:r w:rsidRPr="00FE000D">
        <w:rPr>
          <w:rFonts w:eastAsia="Times New Roman" w:cs="Times New Roman"/>
          <w:b/>
          <w:bCs/>
          <w:color w:val="000000"/>
          <w:kern w:val="0"/>
          <w:lang w:eastAsia="fr-FR"/>
          <w14:ligatures w14:val="none"/>
        </w:rPr>
        <w:t xml:space="preserve">Produits :  Les comptes 2021 et 2022 ne permettent pas d’identifier </w:t>
      </w:r>
      <w:r w:rsidR="00B03329" w:rsidRPr="00FE000D">
        <w:rPr>
          <w:rFonts w:eastAsia="Times New Roman" w:cs="Times New Roman"/>
          <w:b/>
          <w:bCs/>
          <w:color w:val="000000"/>
          <w:kern w:val="0"/>
          <w:lang w:eastAsia="fr-FR"/>
          <w14:ligatures w14:val="none"/>
        </w:rPr>
        <w:t>d’éventuelles subventions</w:t>
      </w:r>
      <w:r w:rsidRPr="00FE000D">
        <w:rPr>
          <w:rFonts w:eastAsia="Times New Roman" w:cs="Times New Roman"/>
          <w:b/>
          <w:bCs/>
          <w:color w:val="000000"/>
          <w:kern w:val="0"/>
          <w:lang w:eastAsia="fr-FR"/>
          <w14:ligatures w14:val="none"/>
        </w:rPr>
        <w:t xml:space="preserve"> FSE + </w:t>
      </w:r>
      <w:r w:rsidR="00B204A8">
        <w:rPr>
          <w:rFonts w:eastAsia="Times New Roman" w:cs="Times New Roman"/>
          <w:b/>
          <w:bCs/>
          <w:color w:val="000000"/>
          <w:kern w:val="0"/>
          <w:lang w:eastAsia="fr-FR"/>
          <w14:ligatures w14:val="none"/>
        </w:rPr>
        <w:t>/</w:t>
      </w:r>
      <w:r w:rsidRPr="00FE000D">
        <w:rPr>
          <w:rFonts w:eastAsia="Times New Roman" w:cs="Times New Roman"/>
          <w:b/>
          <w:bCs/>
          <w:color w:val="000000"/>
          <w:kern w:val="0"/>
          <w:lang w:eastAsia="fr-FR"/>
          <w14:ligatures w14:val="none"/>
        </w:rPr>
        <w:t xml:space="preserve"> </w:t>
      </w:r>
      <w:r w:rsidR="00B204A8">
        <w:rPr>
          <w:rFonts w:eastAsia="Times New Roman" w:cs="Times New Roman"/>
          <w:b/>
          <w:bCs/>
          <w:color w:val="000000"/>
          <w:kern w:val="0"/>
          <w:lang w:eastAsia="fr-FR"/>
          <w14:ligatures w14:val="none"/>
        </w:rPr>
        <w:t>L</w:t>
      </w:r>
      <w:r w:rsidRPr="00FE000D">
        <w:rPr>
          <w:rFonts w:eastAsia="Times New Roman" w:cs="Times New Roman"/>
          <w:b/>
          <w:bCs/>
          <w:color w:val="000000"/>
          <w:kern w:val="0"/>
          <w:lang w:eastAsia="fr-FR"/>
          <w14:ligatures w14:val="none"/>
        </w:rPr>
        <w:t xml:space="preserve">e financement européen semble être effectif en 2023. </w:t>
      </w:r>
    </w:p>
    <w:p w14:paraId="3D8D629D" w14:textId="77777777" w:rsidR="00B7716D" w:rsidRDefault="00B7716D" w:rsidP="00B7716D">
      <w:pPr>
        <w:rPr>
          <w:rFonts w:eastAsia="Times New Roman" w:cs="Times New Roman"/>
          <w:b/>
          <w:bCs/>
          <w:kern w:val="0"/>
          <w:lang w:eastAsia="fr-FR"/>
          <w14:ligatures w14:val="none"/>
        </w:rPr>
      </w:pPr>
    </w:p>
    <w:p w14:paraId="2F6347AC" w14:textId="1A390250" w:rsidR="00B7716D" w:rsidRPr="00FE000D" w:rsidRDefault="00B03329" w:rsidP="00FE000D">
      <w:pPr>
        <w:pStyle w:val="Paragraphedeliste"/>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imes New Roman"/>
          <w:kern w:val="0"/>
          <w:lang w:eastAsia="fr-FR"/>
          <w14:ligatures w14:val="none"/>
        </w:rPr>
      </w:pPr>
      <w:r w:rsidRPr="00FE000D">
        <w:rPr>
          <w:rFonts w:eastAsia="Times New Roman" w:cs="Times New Roman"/>
          <w:b/>
          <w:bCs/>
          <w:color w:val="404040" w:themeColor="text1" w:themeTint="BF"/>
          <w:kern w:val="0"/>
          <w:lang w:eastAsia="fr-FR"/>
          <w14:ligatures w14:val="none"/>
        </w:rPr>
        <w:t>CR</w:t>
      </w:r>
      <w:r>
        <w:rPr>
          <w:rFonts w:eastAsia="Times New Roman" w:cs="Times New Roman"/>
          <w:b/>
          <w:bCs/>
          <w:color w:val="404040" w:themeColor="text1" w:themeTint="BF"/>
          <w:kern w:val="0"/>
          <w:lang w:eastAsia="fr-FR"/>
          <w14:ligatures w14:val="none"/>
        </w:rPr>
        <w:t xml:space="preserve"> </w:t>
      </w:r>
      <w:r>
        <w:rPr>
          <w:rFonts w:eastAsia="Times New Roman" w:cs="Times New Roman"/>
          <w:b/>
          <w:bCs/>
          <w:kern w:val="0"/>
          <w:lang w:eastAsia="fr-FR"/>
          <w14:ligatures w14:val="none"/>
        </w:rPr>
        <w:t>-</w:t>
      </w:r>
      <w:r w:rsidR="00FE000D">
        <w:rPr>
          <w:rFonts w:eastAsia="Times New Roman" w:cs="Times New Roman"/>
          <w:b/>
          <w:bCs/>
          <w:kern w:val="0"/>
          <w:lang w:eastAsia="fr-FR"/>
          <w14:ligatures w14:val="none"/>
        </w:rPr>
        <w:t xml:space="preserve"> </w:t>
      </w:r>
      <w:r w:rsidR="00FE000D" w:rsidRPr="00FE000D">
        <w:rPr>
          <w:rFonts w:eastAsia="Times New Roman" w:cs="Times New Roman"/>
          <w:b/>
          <w:bCs/>
          <w:kern w:val="0"/>
          <w:lang w:eastAsia="fr-FR"/>
          <w14:ligatures w14:val="none"/>
        </w:rPr>
        <w:t xml:space="preserve">Produits </w:t>
      </w:r>
      <w:r w:rsidR="00B7716D" w:rsidRPr="00FE000D">
        <w:rPr>
          <w:rFonts w:eastAsia="Times New Roman" w:cs="Times New Roman"/>
          <w:b/>
          <w:bCs/>
          <w:kern w:val="0"/>
          <w:lang w:eastAsia="fr-FR"/>
          <w14:ligatures w14:val="none"/>
        </w:rPr>
        <w:t>: Ecart entre subventions accordées / subventions perçues</w:t>
      </w:r>
    </w:p>
    <w:p w14:paraId="0EC156A6" w14:textId="2D6EDB11" w:rsidR="00B7716D" w:rsidRDefault="00B7716D" w:rsidP="00B7716D">
      <w:pPr>
        <w:spacing w:before="100" w:beforeAutospacing="1" w:after="100" w:afterAutospacing="1" w:line="240" w:lineRule="auto"/>
        <w:jc w:val="both"/>
        <w:rPr>
          <w:rFonts w:ascii="Aptos Narrow" w:eastAsia="Times New Roman" w:hAnsi="Aptos Narrow" w:cs="Times New Roman"/>
          <w:color w:val="000000"/>
          <w:kern w:val="0"/>
          <w:lang w:eastAsia="fr-FR"/>
          <w14:ligatures w14:val="none"/>
        </w:rPr>
      </w:pPr>
      <w:r w:rsidRPr="000F25EC">
        <w:rPr>
          <w:rFonts w:eastAsia="Times New Roman" w:cs="Times New Roman"/>
          <w:color w:val="000000"/>
          <w:kern w:val="0"/>
          <w:lang w:eastAsia="fr-FR"/>
          <w14:ligatures w14:val="none"/>
        </w:rPr>
        <w:t>2</w:t>
      </w:r>
      <w:r>
        <w:rPr>
          <w:rFonts w:eastAsia="Times New Roman" w:cs="Times New Roman"/>
          <w:color w:val="000000"/>
          <w:kern w:val="0"/>
          <w:lang w:eastAsia="fr-FR"/>
          <w14:ligatures w14:val="none"/>
        </w:rPr>
        <w:t xml:space="preserve">37 001 </w:t>
      </w:r>
      <w:r w:rsidRPr="000F25EC">
        <w:rPr>
          <w:rFonts w:eastAsia="Times New Roman" w:cs="Times New Roman"/>
          <w:color w:val="000000"/>
          <w:kern w:val="0"/>
          <w:lang w:eastAsia="fr-FR"/>
          <w14:ligatures w14:val="none"/>
        </w:rPr>
        <w:t xml:space="preserve">€ de subventions </w:t>
      </w:r>
      <w:r>
        <w:rPr>
          <w:rFonts w:eastAsia="Times New Roman" w:cs="Times New Roman"/>
          <w:color w:val="000000"/>
          <w:kern w:val="0"/>
          <w:lang w:eastAsia="fr-FR"/>
          <w14:ligatures w14:val="none"/>
        </w:rPr>
        <w:t xml:space="preserve">DLA </w:t>
      </w:r>
      <w:r w:rsidRPr="000F25EC">
        <w:rPr>
          <w:rFonts w:eastAsia="Times New Roman" w:cs="Times New Roman"/>
          <w:color w:val="000000"/>
          <w:kern w:val="0"/>
          <w:lang w:eastAsia="fr-FR"/>
          <w14:ligatures w14:val="none"/>
        </w:rPr>
        <w:t>ont été perçue en 2022</w:t>
      </w:r>
      <w:r>
        <w:rPr>
          <w:rFonts w:eastAsia="Times New Roman" w:cs="Times New Roman"/>
          <w:color w:val="000000"/>
          <w:kern w:val="0"/>
          <w:lang w:eastAsia="fr-FR"/>
          <w14:ligatures w14:val="none"/>
        </w:rPr>
        <w:t xml:space="preserve"> et </w:t>
      </w:r>
      <w:r>
        <w:rPr>
          <w:rFonts w:ascii="Aptos Narrow" w:eastAsia="Times New Roman" w:hAnsi="Aptos Narrow" w:cs="Times New Roman"/>
          <w:color w:val="000000"/>
          <w:kern w:val="0"/>
          <w:lang w:eastAsia="fr-FR"/>
          <w14:ligatures w14:val="none"/>
        </w:rPr>
        <w:t xml:space="preserve">230 </w:t>
      </w:r>
      <w:r w:rsidR="00B03329">
        <w:rPr>
          <w:rFonts w:ascii="Aptos Narrow" w:eastAsia="Times New Roman" w:hAnsi="Aptos Narrow" w:cs="Times New Roman"/>
          <w:color w:val="000000"/>
          <w:kern w:val="0"/>
          <w:lang w:eastAsia="fr-FR"/>
          <w14:ligatures w14:val="none"/>
        </w:rPr>
        <w:t xml:space="preserve">180 </w:t>
      </w:r>
      <w:r w:rsidR="00B03329" w:rsidRPr="000F25EC">
        <w:rPr>
          <w:rFonts w:ascii="Aptos Narrow" w:eastAsia="Times New Roman" w:hAnsi="Aptos Narrow" w:cs="Times New Roman"/>
          <w:color w:val="000000"/>
          <w:kern w:val="0"/>
          <w:lang w:eastAsia="fr-FR"/>
          <w14:ligatures w14:val="none"/>
        </w:rPr>
        <w:t>€</w:t>
      </w:r>
      <w:r>
        <w:rPr>
          <w:rFonts w:ascii="Aptos Narrow" w:eastAsia="Times New Roman" w:hAnsi="Aptos Narrow" w:cs="Times New Roman"/>
          <w:color w:val="000000"/>
          <w:kern w:val="0"/>
          <w:lang w:eastAsia="fr-FR"/>
          <w14:ligatures w14:val="none"/>
        </w:rPr>
        <w:t xml:space="preserve"> en 2021, ces montants correspondent aux subventions finançant les frais de fonctionnement. </w:t>
      </w:r>
    </w:p>
    <w:p w14:paraId="2A25C485" w14:textId="77777777" w:rsidR="00B7716D" w:rsidRDefault="00B7716D" w:rsidP="00B7716D">
      <w:pPr>
        <w:spacing w:before="100" w:beforeAutospacing="1" w:after="100" w:afterAutospacing="1" w:line="240" w:lineRule="auto"/>
        <w:jc w:val="center"/>
        <w:rPr>
          <w:rFonts w:ascii="Aptos Narrow" w:eastAsia="Times New Roman" w:hAnsi="Aptos Narrow" w:cs="Times New Roman"/>
          <w:color w:val="000000"/>
          <w:kern w:val="0"/>
          <w:lang w:eastAsia="fr-FR"/>
          <w14:ligatures w14:val="none"/>
        </w:rPr>
      </w:pPr>
      <w:r>
        <w:rPr>
          <w:rFonts w:ascii="Aptos Narrow" w:eastAsia="Times New Roman" w:hAnsi="Aptos Narrow" w:cs="Times New Roman"/>
          <w:noProof/>
          <w:color w:val="000000"/>
          <w:kern w:val="0"/>
          <w:lang w:eastAsia="fr-FR"/>
          <w14:ligatures w14:val="none"/>
        </w:rPr>
        <w:drawing>
          <wp:inline distT="0" distB="0" distL="0" distR="0" wp14:anchorId="3A5B470A" wp14:editId="45E2035B">
            <wp:extent cx="3020991" cy="940279"/>
            <wp:effectExtent l="0" t="0" r="8255" b="0"/>
            <wp:docPr id="1051201563" name="Image 9"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01563" name="Image 9" descr="Une image contenant texte, capture d’écran, Police, nombre&#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3120" cy="947167"/>
                    </a:xfrm>
                    <a:prstGeom prst="rect">
                      <a:avLst/>
                    </a:prstGeom>
                    <a:noFill/>
                  </pic:spPr>
                </pic:pic>
              </a:graphicData>
            </a:graphic>
          </wp:inline>
        </w:drawing>
      </w:r>
    </w:p>
    <w:p w14:paraId="05F0EE39" w14:textId="77777777" w:rsidR="00B7716D" w:rsidRDefault="00B7716D" w:rsidP="00B7716D">
      <w:pPr>
        <w:spacing w:before="100" w:beforeAutospacing="1" w:after="100" w:afterAutospacing="1" w:line="240" w:lineRule="auto"/>
        <w:jc w:val="center"/>
        <w:rPr>
          <w:rFonts w:ascii="Aptos Narrow" w:eastAsia="Times New Roman" w:hAnsi="Aptos Narrow" w:cs="Times New Roman"/>
          <w:color w:val="000000"/>
          <w:kern w:val="0"/>
          <w:lang w:eastAsia="fr-FR"/>
          <w14:ligatures w14:val="none"/>
        </w:rPr>
      </w:pPr>
      <w:r>
        <w:rPr>
          <w:rFonts w:ascii="Aptos Narrow" w:eastAsia="Times New Roman" w:hAnsi="Aptos Narrow" w:cs="Times New Roman"/>
          <w:noProof/>
          <w:color w:val="000000"/>
          <w:kern w:val="0"/>
          <w:lang w:eastAsia="fr-FR"/>
          <w14:ligatures w14:val="none"/>
        </w:rPr>
        <w:drawing>
          <wp:inline distT="0" distB="0" distL="0" distR="0" wp14:anchorId="4010F713" wp14:editId="200274DE">
            <wp:extent cx="3007857" cy="1012920"/>
            <wp:effectExtent l="0" t="0" r="2540" b="0"/>
            <wp:docPr id="1682922608" name="Image 10"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22608" name="Image 10" descr="Une image contenant texte, capture d’écran, Police, nombre&#10;&#10;Le contenu généré par l’IA peut êtr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9440" cy="1026923"/>
                    </a:xfrm>
                    <a:prstGeom prst="rect">
                      <a:avLst/>
                    </a:prstGeom>
                    <a:noFill/>
                  </pic:spPr>
                </pic:pic>
              </a:graphicData>
            </a:graphic>
          </wp:inline>
        </w:drawing>
      </w:r>
    </w:p>
    <w:p w14:paraId="06EFB443" w14:textId="20771828" w:rsidR="00B7716D" w:rsidRDefault="00B7716D" w:rsidP="00B7716D">
      <w:pPr>
        <w:spacing w:before="100" w:beforeAutospacing="1" w:after="100" w:afterAutospacing="1" w:line="240" w:lineRule="auto"/>
        <w:rPr>
          <w:rFonts w:eastAsia="Times New Roman" w:cs="Times New Roman"/>
          <w:kern w:val="0"/>
          <w:lang w:eastAsia="fr-FR"/>
          <w14:ligatures w14:val="none"/>
        </w:rPr>
      </w:pPr>
      <w:r>
        <w:rPr>
          <w:rFonts w:eastAsia="Times New Roman" w:cs="Times New Roman"/>
          <w:kern w:val="0"/>
          <w:lang w:eastAsia="fr-FR"/>
          <w14:ligatures w14:val="none"/>
        </w:rPr>
        <w:t xml:space="preserve">Des écarts significatifs sont ainsi à noter entre les subventions perçues affectées au </w:t>
      </w:r>
      <w:r w:rsidR="00B03329">
        <w:rPr>
          <w:rFonts w:eastAsia="Times New Roman" w:cs="Times New Roman"/>
          <w:kern w:val="0"/>
          <w:lang w:eastAsia="fr-FR"/>
          <w14:ligatures w14:val="none"/>
        </w:rPr>
        <w:t>CR et</w:t>
      </w:r>
      <w:r>
        <w:rPr>
          <w:rFonts w:eastAsia="Times New Roman" w:cs="Times New Roman"/>
          <w:kern w:val="0"/>
          <w:lang w:eastAsia="fr-FR"/>
          <w14:ligatures w14:val="none"/>
        </w:rPr>
        <w:t xml:space="preserve"> les produits attendus : </w:t>
      </w:r>
    </w:p>
    <w:p w14:paraId="34E3209E" w14:textId="77777777" w:rsidR="00B7716D" w:rsidRDefault="00B7716D" w:rsidP="00B7716D">
      <w:pPr>
        <w:spacing w:before="100" w:beforeAutospacing="1" w:after="100" w:afterAutospacing="1" w:line="240" w:lineRule="auto"/>
        <w:jc w:val="center"/>
        <w:rPr>
          <w:rFonts w:eastAsia="Times New Roman" w:cs="Times New Roman"/>
          <w:kern w:val="0"/>
          <w:lang w:eastAsia="fr-FR"/>
          <w14:ligatures w14:val="none"/>
        </w:rPr>
      </w:pPr>
      <w:r w:rsidRPr="00A8561B">
        <w:rPr>
          <w:noProof/>
        </w:rPr>
        <w:drawing>
          <wp:inline distT="0" distB="0" distL="0" distR="0" wp14:anchorId="625493EA" wp14:editId="1695F9A0">
            <wp:extent cx="2940184" cy="1304761"/>
            <wp:effectExtent l="0" t="0" r="0" b="0"/>
            <wp:docPr id="21907206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144" cy="1326488"/>
                    </a:xfrm>
                    <a:prstGeom prst="rect">
                      <a:avLst/>
                    </a:prstGeom>
                    <a:noFill/>
                    <a:ln>
                      <a:noFill/>
                    </a:ln>
                  </pic:spPr>
                </pic:pic>
              </a:graphicData>
            </a:graphic>
          </wp:inline>
        </w:drawing>
      </w:r>
    </w:p>
    <w:p w14:paraId="77A9C8B8" w14:textId="7678B5A5" w:rsidR="00B7716D" w:rsidRPr="009F2941" w:rsidRDefault="00B7716D" w:rsidP="00B7716D">
      <w:pPr>
        <w:spacing w:line="240" w:lineRule="auto"/>
        <w:jc w:val="both"/>
        <w:rPr>
          <w:rFonts w:eastAsia="Times New Roman" w:cs="Times New Roman"/>
          <w:color w:val="000000"/>
          <w:kern w:val="0"/>
          <w:lang w:eastAsia="fr-FR"/>
          <w14:ligatures w14:val="none"/>
        </w:rPr>
      </w:pPr>
      <w:r>
        <w:rPr>
          <w:rFonts w:eastAsia="Times New Roman" w:cs="Times New Roman"/>
          <w:color w:val="000000"/>
          <w:kern w:val="0"/>
          <w:lang w:eastAsia="fr-FR"/>
          <w14:ligatures w14:val="none"/>
        </w:rPr>
        <w:lastRenderedPageBreak/>
        <w:t xml:space="preserve">Ces écarts correspondent aux subventions accordées pour les prestations. L’affectation de ces dernières subventions est indiscernable même </w:t>
      </w:r>
      <w:r w:rsidR="00B03329">
        <w:rPr>
          <w:rFonts w:eastAsia="Times New Roman" w:cs="Times New Roman"/>
          <w:color w:val="000000"/>
          <w:kern w:val="0"/>
          <w:lang w:eastAsia="fr-FR"/>
          <w14:ligatures w14:val="none"/>
        </w:rPr>
        <w:t>aux niveaux</w:t>
      </w:r>
      <w:r>
        <w:rPr>
          <w:rFonts w:eastAsia="Times New Roman" w:cs="Times New Roman"/>
          <w:color w:val="000000"/>
          <w:kern w:val="0"/>
          <w:lang w:eastAsia="fr-FR"/>
          <w14:ligatures w14:val="none"/>
        </w:rPr>
        <w:t xml:space="preserve"> des comptes détaillés.</w:t>
      </w:r>
    </w:p>
    <w:p w14:paraId="47862970" w14:textId="17061EA7" w:rsidR="00B7716D" w:rsidRPr="00B401B0" w:rsidRDefault="00B7716D" w:rsidP="00FE000D">
      <w:pPr>
        <w:pStyle w:val="Paragraphedeliste"/>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imes New Roman"/>
          <w:kern w:val="0"/>
          <w:lang w:eastAsia="fr-FR"/>
          <w14:ligatures w14:val="none"/>
        </w:rPr>
      </w:pPr>
      <w:r w:rsidRPr="00B401B0">
        <w:rPr>
          <w:rFonts w:eastAsia="Times New Roman" w:cs="Times New Roman"/>
          <w:b/>
          <w:bCs/>
          <w:kern w:val="0"/>
          <w:lang w:eastAsia="fr-FR"/>
          <w14:ligatures w14:val="none"/>
        </w:rPr>
        <w:t xml:space="preserve">CR </w:t>
      </w:r>
      <w:r w:rsidR="00FE000D">
        <w:rPr>
          <w:rFonts w:eastAsia="Times New Roman" w:cs="Times New Roman"/>
          <w:b/>
          <w:bCs/>
          <w:kern w:val="0"/>
          <w:lang w:eastAsia="fr-FR"/>
          <w14:ligatures w14:val="none"/>
        </w:rPr>
        <w:t>– Charges</w:t>
      </w:r>
      <w:r w:rsidRPr="00B401B0">
        <w:rPr>
          <w:rFonts w:eastAsia="Times New Roman" w:cs="Times New Roman"/>
          <w:b/>
          <w:bCs/>
          <w:kern w:val="0"/>
          <w:lang w:eastAsia="fr-FR"/>
          <w14:ligatures w14:val="none"/>
        </w:rPr>
        <w:t xml:space="preserve"> : Aucune charge DLA </w:t>
      </w:r>
      <w:r w:rsidR="00FE000D" w:rsidRPr="00B401B0">
        <w:rPr>
          <w:rFonts w:eastAsia="Times New Roman" w:cs="Times New Roman"/>
          <w:b/>
          <w:bCs/>
          <w:kern w:val="0"/>
          <w:lang w:eastAsia="fr-FR"/>
          <w14:ligatures w14:val="none"/>
        </w:rPr>
        <w:t>n’apparait clairement</w:t>
      </w:r>
      <w:r w:rsidRPr="00B401B0">
        <w:rPr>
          <w:rFonts w:eastAsia="Times New Roman" w:cs="Times New Roman"/>
          <w:b/>
          <w:bCs/>
          <w:kern w:val="0"/>
          <w:lang w:eastAsia="fr-FR"/>
          <w14:ligatures w14:val="none"/>
        </w:rPr>
        <w:t>, en particulier les honoraires de Prestations de Conseils</w:t>
      </w:r>
      <w:r w:rsidR="00FE000D">
        <w:rPr>
          <w:rFonts w:eastAsia="Times New Roman" w:cs="Times New Roman"/>
          <w:b/>
          <w:bCs/>
          <w:kern w:val="0"/>
          <w:lang w:eastAsia="fr-FR"/>
          <w14:ligatures w14:val="none"/>
        </w:rPr>
        <w:t>.</w:t>
      </w:r>
      <w:r w:rsidRPr="00B401B0">
        <w:rPr>
          <w:rFonts w:eastAsia="Times New Roman" w:cs="Times New Roman"/>
          <w:b/>
          <w:bCs/>
          <w:kern w:val="0"/>
          <w:lang w:eastAsia="fr-FR"/>
          <w14:ligatures w14:val="none"/>
        </w:rPr>
        <w:t xml:space="preserve"> </w:t>
      </w:r>
    </w:p>
    <w:p w14:paraId="00F08B6D"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A part deux écritures au CR 2021, les frais de fonctionnement DLA ne sont explicités sur aucun des comptes annuels, même au niveau des comptées détaillés 2022 et 2021 (détails indisponibles pour les comptes des autres exercices).</w:t>
      </w:r>
    </w:p>
    <w:p w14:paraId="272190FE"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007A3D">
        <w:rPr>
          <w:rFonts w:eastAsia="Times New Roman" w:cs="Times New Roman"/>
          <w:kern w:val="0"/>
          <w:lang w:eastAsia="fr-FR"/>
          <w14:ligatures w14:val="none"/>
        </w:rPr>
        <w:t xml:space="preserve">es prestations </w:t>
      </w:r>
      <w:r>
        <w:rPr>
          <w:rFonts w:eastAsia="Times New Roman" w:cs="Times New Roman"/>
          <w:kern w:val="0"/>
          <w:lang w:eastAsia="fr-FR"/>
          <w14:ligatures w14:val="none"/>
        </w:rPr>
        <w:t>réalisées sont pourtant</w:t>
      </w:r>
      <w:r w:rsidRPr="00E36247">
        <w:rPr>
          <w:rFonts w:eastAsia="Times New Roman" w:cs="Times New Roman"/>
          <w:kern w:val="0"/>
          <w:lang w:eastAsia="fr-FR"/>
          <w14:ligatures w14:val="none"/>
        </w:rPr>
        <w:t xml:space="preserve"> </w:t>
      </w:r>
      <w:r w:rsidRPr="00007A3D">
        <w:rPr>
          <w:rFonts w:eastAsia="Times New Roman" w:cs="Times New Roman"/>
          <w:kern w:val="0"/>
          <w:lang w:eastAsia="fr-FR"/>
          <w14:ligatures w14:val="none"/>
        </w:rPr>
        <w:t>mentionnées dans "les évènements marquants de l'exercice"</w:t>
      </w:r>
      <w:r>
        <w:rPr>
          <w:rFonts w:eastAsia="Times New Roman" w:cs="Times New Roman"/>
          <w:b/>
          <w:bCs/>
          <w:kern w:val="0"/>
          <w:lang w:eastAsia="fr-FR"/>
          <w14:ligatures w14:val="none"/>
        </w:rPr>
        <w:t xml:space="preserve"> </w:t>
      </w:r>
      <w:r w:rsidRPr="00AC0872">
        <w:rPr>
          <w:rFonts w:eastAsia="Times New Roman" w:cs="Times New Roman"/>
          <w:kern w:val="0"/>
          <w:lang w:eastAsia="fr-FR"/>
          <w14:ligatures w14:val="none"/>
        </w:rPr>
        <w:t>des comptes 2022</w:t>
      </w:r>
      <w:r>
        <w:rPr>
          <w:rFonts w:eastAsia="Times New Roman" w:cs="Times New Roman"/>
          <w:kern w:val="0"/>
          <w:lang w:eastAsia="fr-FR"/>
          <w14:ligatures w14:val="none"/>
        </w:rPr>
        <w:t xml:space="preserve"> et sont à priori toutes documentées. Les chiffres consolidés de l’activité DLA 2023 en Grand Est permettent d’estimer un ordre de grandeur du montant annuel des prestations autour de 200 k€. </w:t>
      </w:r>
    </w:p>
    <w:p w14:paraId="4DC4232F" w14:textId="6EBCF725"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Les « Autres achats et charges externes </w:t>
      </w:r>
      <w:r w:rsidR="00B03329">
        <w:rPr>
          <w:rFonts w:eastAsia="Times New Roman" w:cs="Times New Roman"/>
          <w:kern w:val="0"/>
          <w:lang w:eastAsia="fr-FR"/>
          <w14:ligatures w14:val="none"/>
        </w:rPr>
        <w:t>» s’élèvent</w:t>
      </w:r>
      <w:r>
        <w:rPr>
          <w:rFonts w:eastAsia="Times New Roman" w:cs="Times New Roman"/>
          <w:kern w:val="0"/>
          <w:lang w:eastAsia="fr-FR"/>
          <w14:ligatures w14:val="none"/>
        </w:rPr>
        <w:t xml:space="preserve"> en 2022 à 330 399 € et le détail des comptes ne laisse apparaitre aucune charge estampillée DLA et aucune charge de l’ordre de 200 k</w:t>
      </w:r>
      <w:r w:rsidR="00B03329">
        <w:rPr>
          <w:rFonts w:eastAsia="Times New Roman" w:cs="Times New Roman"/>
          <w:kern w:val="0"/>
          <w:lang w:eastAsia="fr-FR"/>
          <w14:ligatures w14:val="none"/>
        </w:rPr>
        <w:t>€ pouvant</w:t>
      </w:r>
      <w:r>
        <w:rPr>
          <w:rFonts w:eastAsia="Times New Roman" w:cs="Times New Roman"/>
          <w:kern w:val="0"/>
          <w:lang w:eastAsia="fr-FR"/>
          <w14:ligatures w14:val="none"/>
        </w:rPr>
        <w:t xml:space="preserve"> être liés aux prestations </w:t>
      </w:r>
      <w:r w:rsidR="00B03329">
        <w:rPr>
          <w:rFonts w:eastAsia="Times New Roman" w:cs="Times New Roman"/>
          <w:kern w:val="0"/>
          <w:lang w:eastAsia="fr-FR"/>
          <w14:ligatures w14:val="none"/>
        </w:rPr>
        <w:t>n’apparait.</w:t>
      </w:r>
    </w:p>
    <w:p w14:paraId="7886AF47"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L’analyse des charges d’exploitation des autres exercices ne laissent aucunement entrevoir l’affectation des honoraires en charges d’exploitation, les montants consolidés affichés ne permettant pas d’inclure cette enveloppe de 200 k€. </w:t>
      </w:r>
    </w:p>
    <w:p w14:paraId="61FF4036"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 Au regard des montants affectés aux charges extérieures et par continuité, il est fort probable que les charges prestataires n’apparaissent pas pour les autres exercices : </w:t>
      </w:r>
    </w:p>
    <w:p w14:paraId="184F368E"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p>
    <w:p w14:paraId="4E10E8AC" w14:textId="7B381D89" w:rsidR="00B7716D" w:rsidRDefault="00B7716D" w:rsidP="00FE000D">
      <w:pPr>
        <w:spacing w:before="100" w:beforeAutospacing="1" w:after="100" w:afterAutospacing="1" w:line="240" w:lineRule="auto"/>
        <w:jc w:val="center"/>
        <w:rPr>
          <w:rFonts w:ascii="Times New Roman" w:eastAsia="Times New Roman" w:hAnsi="Times New Roman" w:cs="Times New Roman"/>
          <w:kern w:val="0"/>
          <w:lang w:eastAsia="fr-FR"/>
          <w14:ligatures w14:val="none"/>
        </w:rPr>
      </w:pPr>
      <w:r w:rsidRPr="001E0020">
        <w:rPr>
          <w:noProof/>
        </w:rPr>
        <w:drawing>
          <wp:inline distT="0" distB="0" distL="0" distR="0" wp14:anchorId="6F53090C" wp14:editId="241FAA33">
            <wp:extent cx="4930298" cy="2898475"/>
            <wp:effectExtent l="0" t="0" r="3810" b="0"/>
            <wp:docPr id="132398240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4206" cy="2900772"/>
                    </a:xfrm>
                    <a:prstGeom prst="rect">
                      <a:avLst/>
                    </a:prstGeom>
                    <a:noFill/>
                    <a:ln>
                      <a:noFill/>
                    </a:ln>
                  </pic:spPr>
                </pic:pic>
              </a:graphicData>
            </a:graphic>
          </wp:inline>
        </w:drawing>
      </w:r>
    </w:p>
    <w:p w14:paraId="3DE5292B" w14:textId="77777777" w:rsidR="00FE000D" w:rsidRPr="00FE000D" w:rsidRDefault="00FE000D" w:rsidP="00FE000D">
      <w:pPr>
        <w:spacing w:before="100" w:beforeAutospacing="1" w:after="100" w:afterAutospacing="1" w:line="240" w:lineRule="auto"/>
        <w:jc w:val="center"/>
        <w:rPr>
          <w:rFonts w:ascii="Times New Roman" w:eastAsia="Times New Roman" w:hAnsi="Times New Roman" w:cs="Times New Roman"/>
          <w:kern w:val="0"/>
          <w:lang w:eastAsia="fr-FR"/>
          <w14:ligatures w14:val="none"/>
        </w:rPr>
      </w:pPr>
    </w:p>
    <w:p w14:paraId="14AE6FF6" w14:textId="6B20E905" w:rsidR="00B7716D" w:rsidRPr="00B401B0" w:rsidRDefault="00B7716D" w:rsidP="00FE000D">
      <w:pPr>
        <w:pStyle w:val="Paragraphedeliste"/>
        <w:numPr>
          <w:ilvl w:val="0"/>
          <w:numId w:val="5"/>
        </w:numPr>
        <w:pBdr>
          <w:top w:val="single" w:sz="4" w:space="1" w:color="auto"/>
          <w:left w:val="single" w:sz="4" w:space="4" w:color="auto"/>
          <w:bottom w:val="single" w:sz="4" w:space="1" w:color="auto"/>
          <w:right w:val="single" w:sz="4" w:space="4" w:color="auto"/>
        </w:pBdr>
        <w:jc w:val="both"/>
        <w:rPr>
          <w:rFonts w:eastAsia="Times New Roman" w:cs="Times New Roman"/>
          <w:b/>
          <w:bCs/>
          <w:kern w:val="0"/>
          <w:lang w:eastAsia="fr-FR"/>
          <w14:ligatures w14:val="none"/>
        </w:rPr>
      </w:pPr>
      <w:r w:rsidRPr="00B401B0">
        <w:rPr>
          <w:rFonts w:eastAsia="Times New Roman" w:cs="Times New Roman"/>
          <w:b/>
          <w:bCs/>
          <w:kern w:val="0"/>
          <w:lang w:eastAsia="fr-FR"/>
          <w14:ligatures w14:val="none"/>
        </w:rPr>
        <w:lastRenderedPageBreak/>
        <w:t xml:space="preserve">Passif - "Autres Dettes" :  Fort montant &amp; Fortes fluctuations de la dette DLA, interrogeant la correspondance des flux représentés avec l’activité </w:t>
      </w:r>
      <w:r w:rsidR="00B03329" w:rsidRPr="00B401B0">
        <w:rPr>
          <w:rFonts w:eastAsia="Times New Roman" w:cs="Times New Roman"/>
          <w:b/>
          <w:bCs/>
          <w:kern w:val="0"/>
          <w:lang w:eastAsia="fr-FR"/>
          <w14:ligatures w14:val="none"/>
        </w:rPr>
        <w:t>DLA réelle</w:t>
      </w:r>
      <w:r w:rsidRPr="00B401B0">
        <w:rPr>
          <w:rFonts w:eastAsia="Times New Roman" w:cs="Times New Roman"/>
          <w:kern w:val="0"/>
          <w:lang w:eastAsia="fr-FR"/>
          <w14:ligatures w14:val="none"/>
        </w:rPr>
        <w:t>.</w:t>
      </w:r>
    </w:p>
    <w:p w14:paraId="0309F754" w14:textId="77777777"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Il est logique que des lignes en dettes DLA figurent au bilan :  les prestataires démarrant une mission signée à la fin de l’exercice N verront leurs honoraires affectés en dettes DLA à la clôture des comptes, le règlement s’effectuant à la fin de la mission en N+1 : </w:t>
      </w:r>
    </w:p>
    <w:p w14:paraId="30620584" w14:textId="77777777" w:rsidR="00B7716D" w:rsidRDefault="00B7716D" w:rsidP="00B7716D">
      <w:pPr>
        <w:spacing w:before="100" w:beforeAutospacing="1" w:after="100" w:afterAutospacing="1" w:line="240" w:lineRule="auto"/>
        <w:ind w:firstLine="708"/>
        <w:rPr>
          <w:rFonts w:eastAsia="Times New Roman" w:cs="Times New Roman"/>
          <w:kern w:val="0"/>
          <w:lang w:eastAsia="fr-FR"/>
          <w14:ligatures w14:val="none"/>
        </w:rPr>
      </w:pPr>
      <w:r w:rsidRPr="00575096">
        <w:rPr>
          <w:noProof/>
        </w:rPr>
        <w:drawing>
          <wp:inline distT="0" distB="0" distL="0" distR="0" wp14:anchorId="6534A280" wp14:editId="2F4AEC88">
            <wp:extent cx="4467225" cy="933450"/>
            <wp:effectExtent l="0" t="0" r="9525" b="0"/>
            <wp:docPr id="16198149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67225" cy="933450"/>
                    </a:xfrm>
                    <a:prstGeom prst="rect">
                      <a:avLst/>
                    </a:prstGeom>
                    <a:noFill/>
                    <a:ln>
                      <a:noFill/>
                    </a:ln>
                  </pic:spPr>
                </pic:pic>
              </a:graphicData>
            </a:graphic>
          </wp:inline>
        </w:drawing>
      </w:r>
    </w:p>
    <w:p w14:paraId="3B7A750B" w14:textId="36744480"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w:t>
      </w:r>
      <w:r w:rsidRPr="00AA6914">
        <w:rPr>
          <w:rFonts w:eastAsia="Times New Roman" w:cs="Times New Roman"/>
          <w:kern w:val="0"/>
          <w:lang w:eastAsia="fr-FR"/>
          <w14:ligatures w14:val="none"/>
        </w:rPr>
        <w:t xml:space="preserve"> niveau </w:t>
      </w:r>
      <w:r>
        <w:rPr>
          <w:rFonts w:eastAsia="Times New Roman" w:cs="Times New Roman"/>
          <w:kern w:val="0"/>
          <w:lang w:eastAsia="fr-FR"/>
          <w14:ligatures w14:val="none"/>
        </w:rPr>
        <w:t xml:space="preserve">de cette dette d’échéance à moins </w:t>
      </w:r>
      <w:r w:rsidR="00B03329">
        <w:rPr>
          <w:rFonts w:eastAsia="Times New Roman" w:cs="Times New Roman"/>
          <w:kern w:val="0"/>
          <w:lang w:eastAsia="fr-FR"/>
          <w14:ligatures w14:val="none"/>
        </w:rPr>
        <w:t>d’un</w:t>
      </w:r>
      <w:r>
        <w:rPr>
          <w:rFonts w:eastAsia="Times New Roman" w:cs="Times New Roman"/>
          <w:kern w:val="0"/>
          <w:lang w:eastAsia="fr-FR"/>
          <w14:ligatures w14:val="none"/>
        </w:rPr>
        <w:t xml:space="preserve"> an</w:t>
      </w:r>
      <w:r w:rsidRPr="00AA6914">
        <w:rPr>
          <w:rFonts w:eastAsia="Times New Roman" w:cs="Times New Roman"/>
          <w:kern w:val="0"/>
          <w:lang w:eastAsia="fr-FR"/>
          <w14:ligatures w14:val="none"/>
        </w:rPr>
        <w:t xml:space="preserve"> </w:t>
      </w:r>
      <w:r>
        <w:rPr>
          <w:rFonts w:eastAsia="Times New Roman" w:cs="Times New Roman"/>
          <w:kern w:val="0"/>
          <w:lang w:eastAsia="fr-FR"/>
          <w14:ligatures w14:val="none"/>
        </w:rPr>
        <w:t>interroge</w:t>
      </w:r>
      <w:r w:rsidRPr="00AA6914">
        <w:rPr>
          <w:rFonts w:eastAsia="Times New Roman" w:cs="Times New Roman"/>
          <w:kern w:val="0"/>
          <w:lang w:eastAsia="fr-FR"/>
          <w14:ligatures w14:val="none"/>
        </w:rPr>
        <w:t xml:space="preserve"> : </w:t>
      </w:r>
    </w:p>
    <w:p w14:paraId="63E8FA8A" w14:textId="0BCBB760"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Un maximum théorique de la dette DLA correspond à une annualité des montants prévus pour les prestations, soit environ 200 k€ pour les départements alsaciens. </w:t>
      </w:r>
      <w:r w:rsidR="00B03329">
        <w:rPr>
          <w:rFonts w:eastAsia="Times New Roman" w:cs="Times New Roman"/>
          <w:kern w:val="0"/>
          <w:lang w:eastAsia="fr-FR"/>
          <w14:ligatures w14:val="none"/>
        </w:rPr>
        <w:t>La dette constatée</w:t>
      </w:r>
      <w:r w:rsidRPr="00AA6914">
        <w:rPr>
          <w:rFonts w:eastAsia="Times New Roman" w:cs="Times New Roman"/>
          <w:kern w:val="0"/>
          <w:lang w:eastAsia="fr-FR"/>
          <w14:ligatures w14:val="none"/>
        </w:rPr>
        <w:t xml:space="preserve"> représente </w:t>
      </w:r>
      <w:r>
        <w:rPr>
          <w:rFonts w:eastAsia="Times New Roman" w:cs="Times New Roman"/>
          <w:kern w:val="0"/>
          <w:lang w:eastAsia="fr-FR"/>
          <w14:ligatures w14:val="none"/>
        </w:rPr>
        <w:t>ainsi 150% d’un financement annuel de prestations, mais il correspond aussi à plus de 20%</w:t>
      </w:r>
      <w:r w:rsidRPr="00AA6914">
        <w:rPr>
          <w:rFonts w:eastAsia="Times New Roman" w:cs="Times New Roman"/>
          <w:kern w:val="0"/>
          <w:lang w:eastAsia="fr-FR"/>
          <w14:ligatures w14:val="none"/>
        </w:rPr>
        <w:t xml:space="preserve"> du CR.</w:t>
      </w:r>
      <w:r>
        <w:rPr>
          <w:rFonts w:eastAsia="Times New Roman" w:cs="Times New Roman"/>
          <w:kern w:val="0"/>
          <w:lang w:eastAsia="fr-FR"/>
          <w14:ligatures w14:val="none"/>
        </w:rPr>
        <w:t xml:space="preserve"> </w:t>
      </w:r>
    </w:p>
    <w:p w14:paraId="7BE06E46" w14:textId="248443EF" w:rsidR="00B7716D"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Il est aussi singulier que le niveau de dettes DLA</w:t>
      </w:r>
      <w:r w:rsidR="00F87D27">
        <w:rPr>
          <w:rFonts w:eastAsia="Times New Roman" w:cs="Times New Roman"/>
          <w:kern w:val="0"/>
          <w:lang w:eastAsia="fr-FR"/>
          <w14:ligatures w14:val="none"/>
        </w:rPr>
        <w:t xml:space="preserve"> </w:t>
      </w:r>
      <w:r w:rsidR="005C716E">
        <w:rPr>
          <w:rFonts w:eastAsia="Times New Roman" w:cs="Times New Roman"/>
          <w:kern w:val="0"/>
          <w:lang w:eastAsia="fr-FR"/>
          <w14:ligatures w14:val="none"/>
        </w:rPr>
        <w:t>68</w:t>
      </w:r>
      <w:r>
        <w:rPr>
          <w:rFonts w:eastAsia="Times New Roman" w:cs="Times New Roman"/>
          <w:kern w:val="0"/>
          <w:lang w:eastAsia="fr-FR"/>
          <w14:ligatures w14:val="none"/>
        </w:rPr>
        <w:t xml:space="preserve"> augmente de 2021 à 2022 dans un contexte de baisse de disponibilités et de créances  : </w:t>
      </w:r>
    </w:p>
    <w:p w14:paraId="6BF37414" w14:textId="26470A9C" w:rsidR="00B7716D" w:rsidRDefault="0088092B" w:rsidP="00B7716D">
      <w:pPr>
        <w:spacing w:before="100" w:beforeAutospacing="1" w:after="100" w:afterAutospacing="1" w:line="240" w:lineRule="auto"/>
        <w:jc w:val="center"/>
        <w:rPr>
          <w:rFonts w:eastAsia="Times New Roman" w:cs="Times New Roman"/>
          <w:kern w:val="0"/>
          <w:lang w:eastAsia="fr-FR"/>
          <w14:ligatures w14:val="none"/>
        </w:rPr>
      </w:pPr>
      <w:r w:rsidRPr="0088092B">
        <w:drawing>
          <wp:inline distT="0" distB="0" distL="0" distR="0" wp14:anchorId="0B8D4DE1" wp14:editId="53F50BD4">
            <wp:extent cx="4257675" cy="752475"/>
            <wp:effectExtent l="0" t="0" r="9525" b="9525"/>
            <wp:docPr id="1343646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752475"/>
                    </a:xfrm>
                    <a:prstGeom prst="rect">
                      <a:avLst/>
                    </a:prstGeom>
                    <a:noFill/>
                    <a:ln>
                      <a:noFill/>
                    </a:ln>
                  </pic:spPr>
                </pic:pic>
              </a:graphicData>
            </a:graphic>
          </wp:inline>
        </w:drawing>
      </w:r>
    </w:p>
    <w:p w14:paraId="75B91ED2" w14:textId="3520D718" w:rsidR="00B7716D" w:rsidRDefault="00B8494C" w:rsidP="00B8494C">
      <w:pPr>
        <w:spacing w:before="100" w:beforeAutospacing="1" w:after="100" w:afterAutospacing="1" w:line="240" w:lineRule="auto"/>
        <w:jc w:val="center"/>
        <w:rPr>
          <w:rFonts w:eastAsia="Times New Roman" w:cs="Times New Roman"/>
          <w:kern w:val="0"/>
          <w:lang w:eastAsia="fr-FR"/>
          <w14:ligatures w14:val="none"/>
        </w:rPr>
      </w:pPr>
      <w:r w:rsidRPr="00B8494C">
        <w:drawing>
          <wp:inline distT="0" distB="0" distL="0" distR="0" wp14:anchorId="476F9BAB" wp14:editId="330DD7E9">
            <wp:extent cx="4286250" cy="1914525"/>
            <wp:effectExtent l="0" t="0" r="0" b="9525"/>
            <wp:docPr id="15085605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1914525"/>
                    </a:xfrm>
                    <a:prstGeom prst="rect">
                      <a:avLst/>
                    </a:prstGeom>
                    <a:noFill/>
                    <a:ln>
                      <a:noFill/>
                    </a:ln>
                  </pic:spPr>
                </pic:pic>
              </a:graphicData>
            </a:graphic>
          </wp:inline>
        </w:drawing>
      </w:r>
    </w:p>
    <w:p w14:paraId="59E04C5C" w14:textId="4FE61329" w:rsidR="00B7716D" w:rsidRPr="00AA6914" w:rsidRDefault="00B7716D" w:rsidP="00B7716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Enfin, l</w:t>
      </w:r>
      <w:r w:rsidRPr="00AA6914">
        <w:rPr>
          <w:rFonts w:eastAsia="Times New Roman" w:cs="Times New Roman"/>
          <w:kern w:val="0"/>
          <w:lang w:eastAsia="fr-FR"/>
          <w14:ligatures w14:val="none"/>
        </w:rPr>
        <w:t xml:space="preserve">es niveaux des dettes DLA varient significativement d’un exercice à l’autre à l’échelle départementale. </w:t>
      </w:r>
      <w:r>
        <w:rPr>
          <w:rFonts w:eastAsia="Times New Roman" w:cs="Times New Roman"/>
          <w:kern w:val="0"/>
          <w:lang w:eastAsia="fr-FR"/>
          <w14:ligatures w14:val="none"/>
        </w:rPr>
        <w:t xml:space="preserve">Ces variations interrogent la nature des flux représentés par celles-ci : quelle correspondance entre ces flux et l’activité réelle DLA ? </w:t>
      </w:r>
    </w:p>
    <w:p w14:paraId="0CDE38D2" w14:textId="29F86A3E" w:rsidR="00B7716D" w:rsidRPr="00B401B0" w:rsidRDefault="00B7716D" w:rsidP="00FE000D">
      <w:pPr>
        <w:pStyle w:val="Paragraphedeliste"/>
        <w:numPr>
          <w:ilvl w:val="0"/>
          <w:numId w:val="5"/>
        </w:numPr>
        <w:pBdr>
          <w:top w:val="single" w:sz="4" w:space="1" w:color="auto"/>
          <w:left w:val="single" w:sz="4" w:space="4" w:color="auto"/>
          <w:bottom w:val="single" w:sz="4" w:space="1" w:color="auto"/>
          <w:right w:val="single" w:sz="4" w:space="4" w:color="auto"/>
        </w:pBdr>
        <w:spacing w:before="100" w:beforeAutospacing="1" w:after="0" w:line="240" w:lineRule="auto"/>
        <w:jc w:val="both"/>
        <w:rPr>
          <w:rFonts w:eastAsia="Times New Roman" w:cs="Times New Roman"/>
          <w:kern w:val="0"/>
          <w:lang w:eastAsia="fr-FR"/>
          <w14:ligatures w14:val="none"/>
        </w:rPr>
      </w:pPr>
      <w:r w:rsidRPr="00B401B0">
        <w:rPr>
          <w:rFonts w:eastAsia="Times New Roman" w:cs="Times New Roman"/>
          <w:b/>
          <w:bCs/>
          <w:kern w:val="0"/>
          <w:lang w:eastAsia="fr-FR"/>
          <w14:ligatures w14:val="none"/>
        </w:rPr>
        <w:t xml:space="preserve">Passif - "Autres Dettes" :  La présence </w:t>
      </w:r>
      <w:r w:rsidR="00B03329" w:rsidRPr="00B401B0">
        <w:rPr>
          <w:rFonts w:eastAsia="Times New Roman" w:cs="Times New Roman"/>
          <w:b/>
          <w:bCs/>
          <w:kern w:val="0"/>
          <w:lang w:eastAsia="fr-FR"/>
          <w14:ligatures w14:val="none"/>
        </w:rPr>
        <w:t>d’une «</w:t>
      </w:r>
      <w:r w:rsidRPr="00B401B0">
        <w:rPr>
          <w:rFonts w:eastAsia="Times New Roman" w:cs="Times New Roman"/>
          <w:b/>
          <w:bCs/>
          <w:kern w:val="0"/>
          <w:lang w:eastAsia="fr-FR"/>
          <w14:ligatures w14:val="none"/>
        </w:rPr>
        <w:t> Dette DLAR » interroge, alors que le DLA régional ne devrait pas verser de fonds aux DLA départementaux</w:t>
      </w:r>
      <w:r w:rsidRPr="00B401B0">
        <w:rPr>
          <w:rFonts w:eastAsia="Times New Roman" w:cs="Times New Roman"/>
          <w:kern w:val="0"/>
          <w:lang w:eastAsia="fr-FR"/>
          <w14:ligatures w14:val="none"/>
        </w:rPr>
        <w:t xml:space="preserve">. </w:t>
      </w:r>
    </w:p>
    <w:p w14:paraId="44368A22" w14:textId="77777777" w:rsidR="00B7716D" w:rsidRDefault="00B7716D" w:rsidP="00B7716D">
      <w:pPr>
        <w:spacing w:after="0" w:line="240" w:lineRule="auto"/>
        <w:jc w:val="both"/>
        <w:rPr>
          <w:rFonts w:ascii="Times New Roman" w:eastAsia="Times New Roman" w:hAnsi="Times New Roman" w:cs="Times New Roman"/>
          <w:kern w:val="0"/>
          <w:lang w:eastAsia="fr-FR"/>
          <w14:ligatures w14:val="none"/>
        </w:rPr>
      </w:pPr>
    </w:p>
    <w:p w14:paraId="12AC2113" w14:textId="77777777" w:rsidR="003E71B3" w:rsidRDefault="003E71B3" w:rsidP="00B7716D">
      <w:pPr>
        <w:spacing w:after="0" w:line="240" w:lineRule="auto"/>
        <w:jc w:val="both"/>
        <w:rPr>
          <w:rFonts w:eastAsia="Times New Roman" w:cs="Times New Roman"/>
          <w:color w:val="0D0D0D" w:themeColor="text1" w:themeTint="F2"/>
          <w:kern w:val="0"/>
          <w:lang w:eastAsia="fr-FR"/>
          <w14:ligatures w14:val="none"/>
        </w:rPr>
      </w:pPr>
    </w:p>
    <w:p w14:paraId="25118FD1" w14:textId="3485F8F2" w:rsidR="00B7716D" w:rsidRPr="00436FEB" w:rsidRDefault="00B7716D" w:rsidP="00B7716D">
      <w:pPr>
        <w:spacing w:after="0" w:line="240" w:lineRule="auto"/>
        <w:jc w:val="both"/>
        <w:rPr>
          <w:rFonts w:eastAsia="Times New Roman" w:cs="Times New Roman"/>
          <w:b/>
          <w:bCs/>
          <w:color w:val="0D0D0D" w:themeColor="text1" w:themeTint="F2"/>
          <w:kern w:val="0"/>
          <w:lang w:eastAsia="fr-FR"/>
          <w14:ligatures w14:val="none"/>
        </w:rPr>
      </w:pPr>
      <w:r w:rsidRPr="00436FEB">
        <w:rPr>
          <w:rFonts w:eastAsia="Times New Roman" w:cs="Times New Roman"/>
          <w:b/>
          <w:bCs/>
          <w:color w:val="0D0D0D" w:themeColor="text1" w:themeTint="F2"/>
          <w:kern w:val="0"/>
          <w:lang w:eastAsia="fr-FR"/>
          <w14:ligatures w14:val="none"/>
        </w:rPr>
        <w:lastRenderedPageBreak/>
        <w:t>Cartographie des Flux de financement DLA :</w:t>
      </w:r>
    </w:p>
    <w:p w14:paraId="2DC6FFD2" w14:textId="77777777" w:rsidR="00B7716D" w:rsidRDefault="00B7716D" w:rsidP="00B7716D">
      <w:pPr>
        <w:spacing w:after="0" w:line="240" w:lineRule="auto"/>
        <w:jc w:val="both"/>
        <w:rPr>
          <w:rFonts w:ascii="Times New Roman" w:eastAsia="Times New Roman" w:hAnsi="Times New Roman" w:cs="Times New Roman"/>
          <w:kern w:val="0"/>
          <w:lang w:eastAsia="fr-FR"/>
          <w14:ligatures w14:val="none"/>
        </w:rPr>
      </w:pPr>
    </w:p>
    <w:p w14:paraId="480C5DB1" w14:textId="36B6D400" w:rsidR="00B7716D" w:rsidRPr="003E71B3" w:rsidRDefault="00B7716D" w:rsidP="003E71B3">
      <w:pPr>
        <w:spacing w:after="0" w:line="240" w:lineRule="auto"/>
        <w:jc w:val="center"/>
        <w:rPr>
          <w:rFonts w:ascii="Times New Roman" w:eastAsia="Times New Roman" w:hAnsi="Times New Roman" w:cs="Times New Roman"/>
          <w:kern w:val="0"/>
          <w:lang w:eastAsia="fr-FR"/>
          <w14:ligatures w14:val="none"/>
        </w:rPr>
      </w:pPr>
      <w:r w:rsidRPr="00BA2A1A">
        <w:rPr>
          <w:noProof/>
        </w:rPr>
        <w:drawing>
          <wp:inline distT="0" distB="0" distL="0" distR="0" wp14:anchorId="085CEED4" wp14:editId="4F0CF3C2">
            <wp:extent cx="4180706" cy="2199110"/>
            <wp:effectExtent l="0" t="0" r="0" b="0"/>
            <wp:docPr id="1397728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8617"/>
                    <a:stretch/>
                  </pic:blipFill>
                  <pic:spPr bwMode="auto">
                    <a:xfrm>
                      <a:off x="0" y="0"/>
                      <a:ext cx="4190045" cy="2204023"/>
                    </a:xfrm>
                    <a:prstGeom prst="rect">
                      <a:avLst/>
                    </a:prstGeom>
                    <a:noFill/>
                    <a:ln>
                      <a:noFill/>
                    </a:ln>
                    <a:extLst>
                      <a:ext uri="{53640926-AAD7-44D8-BBD7-CCE9431645EC}">
                        <a14:shadowObscured xmlns:a14="http://schemas.microsoft.com/office/drawing/2010/main"/>
                      </a:ext>
                    </a:extLst>
                  </pic:spPr>
                </pic:pic>
              </a:graphicData>
            </a:graphic>
          </wp:inline>
        </w:drawing>
      </w:r>
    </w:p>
    <w:p w14:paraId="1B693E79" w14:textId="3A8D1181" w:rsidR="00FE000D" w:rsidRPr="00FE000D" w:rsidRDefault="00B03329" w:rsidP="00FE000D">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color w:val="000000"/>
          <w:kern w:val="0"/>
          <w:lang w:eastAsia="fr-FR"/>
          <w14:ligatures w14:val="none"/>
        </w:rPr>
      </w:pPr>
      <w:r w:rsidRPr="00FE000D">
        <w:rPr>
          <w:rFonts w:eastAsia="Times New Roman" w:cs="Times New Roman"/>
          <w:b/>
          <w:bCs/>
          <w:color w:val="000000"/>
          <w:kern w:val="0"/>
          <w:lang w:eastAsia="fr-FR"/>
          <w14:ligatures w14:val="none"/>
        </w:rPr>
        <w:t>Actif -</w:t>
      </w:r>
      <w:r w:rsidR="00FE000D" w:rsidRPr="00FE000D">
        <w:rPr>
          <w:rFonts w:eastAsia="Times New Roman" w:cs="Times New Roman"/>
          <w:b/>
          <w:bCs/>
          <w:color w:val="000000"/>
          <w:kern w:val="0"/>
          <w:lang w:eastAsia="fr-FR"/>
          <w14:ligatures w14:val="none"/>
        </w:rPr>
        <w:t xml:space="preserve"> Créances : Les montants des Créances BdT sont </w:t>
      </w:r>
      <w:r w:rsidRPr="00FE000D">
        <w:rPr>
          <w:rFonts w:eastAsia="Times New Roman" w:cs="Times New Roman"/>
          <w:b/>
          <w:bCs/>
          <w:color w:val="000000"/>
          <w:kern w:val="0"/>
          <w:lang w:eastAsia="fr-FR"/>
          <w14:ligatures w14:val="none"/>
        </w:rPr>
        <w:t>égaux</w:t>
      </w:r>
      <w:r w:rsidR="00FE000D" w:rsidRPr="00FE000D">
        <w:rPr>
          <w:rFonts w:eastAsia="Times New Roman" w:cs="Times New Roman"/>
          <w:b/>
          <w:bCs/>
          <w:color w:val="000000"/>
          <w:kern w:val="0"/>
          <w:lang w:eastAsia="fr-FR"/>
          <w14:ligatures w14:val="none"/>
        </w:rPr>
        <w:t xml:space="preserve"> aux subvention BdT au CR en 2021 comme </w:t>
      </w:r>
      <w:r w:rsidRPr="00FE000D">
        <w:rPr>
          <w:rFonts w:eastAsia="Times New Roman" w:cs="Times New Roman"/>
          <w:b/>
          <w:bCs/>
          <w:color w:val="000000"/>
          <w:kern w:val="0"/>
          <w:lang w:eastAsia="fr-FR"/>
          <w14:ligatures w14:val="none"/>
        </w:rPr>
        <w:t>en 2022</w:t>
      </w:r>
      <w:r w:rsidR="00FE000D" w:rsidRPr="00FE000D">
        <w:rPr>
          <w:rFonts w:eastAsia="Times New Roman" w:cs="Times New Roman"/>
          <w:b/>
          <w:bCs/>
          <w:color w:val="000000"/>
          <w:kern w:val="0"/>
          <w:lang w:eastAsia="fr-FR"/>
          <w14:ligatures w14:val="none"/>
        </w:rPr>
        <w:t xml:space="preserve">. </w:t>
      </w:r>
    </w:p>
    <w:p w14:paraId="05B558B1" w14:textId="77777777" w:rsidR="00B7716D" w:rsidRDefault="00B7716D" w:rsidP="00B7716D">
      <w:pPr>
        <w:jc w:val="both"/>
        <w:rPr>
          <w:rFonts w:eastAsia="Times New Roman" w:cs="Times New Roman"/>
          <w:color w:val="000000"/>
          <w:kern w:val="0"/>
          <w:lang w:eastAsia="fr-FR"/>
          <w14:ligatures w14:val="none"/>
        </w:rPr>
      </w:pPr>
    </w:p>
    <w:p w14:paraId="4125DDD0" w14:textId="56D8253F" w:rsidR="00681FC0" w:rsidRDefault="00681FC0" w:rsidP="00681FC0">
      <w:pPr>
        <w:pStyle w:val="Paragraphedeliste"/>
        <w:numPr>
          <w:ilvl w:val="0"/>
          <w:numId w:val="2"/>
        </w:numPr>
        <w:jc w:val="both"/>
        <w:rPr>
          <w:rFonts w:eastAsia="Times New Roman" w:cs="Times New Roman"/>
          <w:b/>
          <w:bCs/>
          <w:color w:val="000000"/>
          <w:kern w:val="0"/>
          <w:lang w:eastAsia="fr-FR"/>
          <w14:ligatures w14:val="none"/>
        </w:rPr>
      </w:pPr>
      <w:r w:rsidRPr="00681FC0">
        <w:rPr>
          <w:rFonts w:eastAsia="Times New Roman" w:cs="Times New Roman"/>
          <w:b/>
          <w:bCs/>
          <w:color w:val="000000"/>
          <w:kern w:val="0"/>
          <w:lang w:eastAsia="fr-FR"/>
          <w14:ligatures w14:val="none"/>
        </w:rPr>
        <w:t xml:space="preserve">En conclusion : </w:t>
      </w:r>
    </w:p>
    <w:p w14:paraId="3F186A60" w14:textId="46CC6941" w:rsidR="00A457B1" w:rsidRDefault="00A457B1" w:rsidP="00A457B1">
      <w:pPr>
        <w:jc w:val="both"/>
        <w:rPr>
          <w:rFonts w:eastAsia="Times New Roman" w:cs="Times New Roman"/>
          <w:color w:val="000000"/>
          <w:kern w:val="0"/>
          <w:lang w:eastAsia="fr-FR"/>
          <w14:ligatures w14:val="none"/>
        </w:rPr>
      </w:pPr>
      <w:r w:rsidRPr="00A457B1">
        <w:rPr>
          <w:rFonts w:eastAsia="Times New Roman" w:cs="Times New Roman"/>
          <w:color w:val="000000"/>
          <w:kern w:val="0"/>
          <w:lang w:eastAsia="fr-FR"/>
          <w14:ligatures w14:val="none"/>
        </w:rPr>
        <w:t>L’analyse économique conduite ici met en lumière des écarts significatifs entre les objectifs affichés du DLA en Grand Est et la réalité de sa mise en œuvre, tant au niveau de l’activité que de l’usage des ressources publiques.</w:t>
      </w:r>
    </w:p>
    <w:p w14:paraId="7ED007A1" w14:textId="26B5AB16" w:rsidR="00A457B1" w:rsidRPr="00A457B1" w:rsidRDefault="00A457B1" w:rsidP="00A457B1">
      <w:pPr>
        <w:jc w:val="both"/>
        <w:rPr>
          <w:rFonts w:eastAsia="Times New Roman" w:cs="Times New Roman"/>
          <w:color w:val="000000"/>
          <w:kern w:val="0"/>
          <w:lang w:eastAsia="fr-FR"/>
          <w14:ligatures w14:val="none"/>
        </w:rPr>
      </w:pPr>
      <w:r w:rsidRPr="00A457B1">
        <w:rPr>
          <w:rFonts w:eastAsia="Times New Roman" w:cs="Times New Roman"/>
          <w:color w:val="000000"/>
          <w:kern w:val="0"/>
          <w:lang w:eastAsia="fr-FR"/>
          <w14:ligatures w14:val="none"/>
        </w:rPr>
        <w:t>Les données disponibles révèlent une stabilité apparente des flux financiers, mais cette stabilité masque des dynamiques préoccupantes : faible nombre d’accompagnements par chargé de mission, absence d’effet tangible d’une hausse budgétaire pourtant conséquente, opacité persistante sur la traçabilité des prestations réellement effectuées, et inadéquation structurelle entre les ratios réalisés et les référentiels institutionnels.</w:t>
      </w:r>
    </w:p>
    <w:p w14:paraId="0DC1AAA5" w14:textId="77777777" w:rsidR="00A457B1" w:rsidRPr="00A457B1" w:rsidRDefault="00A457B1" w:rsidP="00A457B1">
      <w:pPr>
        <w:jc w:val="both"/>
        <w:rPr>
          <w:rFonts w:eastAsia="Times New Roman" w:cs="Times New Roman"/>
          <w:color w:val="000000"/>
          <w:kern w:val="0"/>
          <w:lang w:eastAsia="fr-FR"/>
          <w14:ligatures w14:val="none"/>
        </w:rPr>
      </w:pPr>
      <w:r w:rsidRPr="00A457B1">
        <w:rPr>
          <w:rFonts w:eastAsia="Times New Roman" w:cs="Times New Roman"/>
          <w:color w:val="000000"/>
          <w:kern w:val="0"/>
          <w:lang w:eastAsia="fr-FR"/>
          <w14:ligatures w14:val="none"/>
        </w:rPr>
        <w:t>Ces constats, s’ils peuvent être lus séparément, prennent tout leur sens lorsqu’ils sont considérés comme les expressions d’un désajustement plus profond. Ce désajustement ne se résume pas à une série de dysfonctionnements ponctuels : il semble s’inscrire dans une logique plus globale, traduisant une transformation silencieuse du dispositif, éloignée de ses finalités premières.</w:t>
      </w:r>
    </w:p>
    <w:p w14:paraId="59BC38DB" w14:textId="35E5AA8B" w:rsidR="00A457B1" w:rsidRDefault="00A457B1" w:rsidP="00A457B1">
      <w:pPr>
        <w:jc w:val="both"/>
        <w:rPr>
          <w:rFonts w:eastAsia="Times New Roman" w:cs="Times New Roman"/>
          <w:color w:val="000000"/>
          <w:kern w:val="0"/>
          <w:lang w:eastAsia="fr-FR"/>
          <w14:ligatures w14:val="none"/>
        </w:rPr>
      </w:pPr>
      <w:r w:rsidRPr="00A457B1">
        <w:rPr>
          <w:rFonts w:eastAsia="Times New Roman" w:cs="Times New Roman"/>
          <w:color w:val="000000"/>
          <w:kern w:val="0"/>
          <w:lang w:eastAsia="fr-FR"/>
          <w14:ligatures w14:val="none"/>
        </w:rPr>
        <w:t xml:space="preserve">Ce constat appelle donc une lecture complémentaire. Car au-delà des chiffres et des écarts budgétaires, il devient nécessaire d’interroger les mécanismes qui, dans la durée, rendent possible une telle déconnexion entre intention et réalisation. C’est à cette exploration que s’ouvrira l’analyse </w:t>
      </w:r>
      <w:r>
        <w:rPr>
          <w:rFonts w:eastAsia="Times New Roman" w:cs="Times New Roman"/>
          <w:color w:val="000000"/>
          <w:kern w:val="0"/>
          <w:lang w:eastAsia="fr-FR"/>
          <w14:ligatures w14:val="none"/>
        </w:rPr>
        <w:t>systémique à venir</w:t>
      </w:r>
      <w:r w:rsidRPr="00A457B1">
        <w:rPr>
          <w:rFonts w:eastAsia="Times New Roman" w:cs="Times New Roman"/>
          <w:color w:val="000000"/>
          <w:kern w:val="0"/>
          <w:lang w:eastAsia="fr-FR"/>
          <w14:ligatures w14:val="none"/>
        </w:rPr>
        <w:t>.</w:t>
      </w:r>
    </w:p>
    <w:p w14:paraId="6FF3B73F" w14:textId="707DA27A" w:rsidR="003E71B3" w:rsidRPr="003E71B3" w:rsidRDefault="003E71B3" w:rsidP="003E71B3">
      <w:pPr>
        <w:spacing w:before="100" w:beforeAutospacing="1" w:after="100" w:afterAutospacing="1" w:line="240" w:lineRule="auto"/>
        <w:jc w:val="center"/>
        <w:rPr>
          <w:rFonts w:ascii="Segoe UI Emoji" w:hAnsi="Segoe UI Emoji" w:cs="Segoe UI Emoji"/>
          <w:sz w:val="28"/>
          <w:szCs w:val="28"/>
        </w:rPr>
      </w:pPr>
      <w:r w:rsidRPr="000D0E0C">
        <w:rPr>
          <w:rFonts w:ascii="Segoe UI Emoji" w:hAnsi="Segoe UI Emoji" w:cs="Segoe UI Emoji"/>
          <w:sz w:val="28"/>
          <w:szCs w:val="28"/>
        </w:rPr>
        <w:t>🌿</w:t>
      </w:r>
      <w:r w:rsidRPr="000D0E0C">
        <w:rPr>
          <w:rStyle w:val="lev"/>
          <w:color w:val="4C94D8" w:themeColor="text2" w:themeTint="80"/>
          <w:sz w:val="28"/>
          <w:szCs w:val="28"/>
        </w:rPr>
        <w:t xml:space="preserve"> « Servez-vous, la nature vous l’offre »</w:t>
      </w:r>
      <w:r w:rsidRPr="000D0E0C">
        <w:rPr>
          <w:rFonts w:ascii="Segoe UI Emoji" w:hAnsi="Segoe UI Emoji" w:cs="Segoe UI Emoji"/>
          <w:sz w:val="28"/>
          <w:szCs w:val="28"/>
        </w:rPr>
        <w:t xml:space="preserve"> 🌿</w:t>
      </w:r>
    </w:p>
    <w:p w14:paraId="63430DBD" w14:textId="0877BC66" w:rsidR="00B7716D" w:rsidRPr="003E71B3" w:rsidRDefault="003E71B3" w:rsidP="003E71B3">
      <w:pPr>
        <w:spacing w:before="100" w:beforeAutospacing="1" w:after="100" w:afterAutospacing="1" w:line="240" w:lineRule="auto"/>
        <w:jc w:val="center"/>
        <w:rPr>
          <w:rFonts w:eastAsia="Times New Roman" w:cs="Calibri"/>
          <w:kern w:val="0"/>
          <w:lang w:eastAsia="fr-FR"/>
          <w14:ligatures w14:val="none"/>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Marc Oswald, </w:t>
      </w:r>
      <w:r>
        <w:rPr>
          <w:rFonts w:eastAsia="Times New Roman" w:cs="Calibri"/>
          <w:kern w:val="0"/>
          <w:lang w:eastAsia="fr-FR"/>
          <w14:ligatures w14:val="none"/>
        </w:rPr>
        <w:t xml:space="preserve">juin </w:t>
      </w:r>
      <w:r w:rsidRPr="00984201">
        <w:rPr>
          <w:rFonts w:eastAsia="Times New Roman" w:cs="Calibri"/>
          <w:kern w:val="0"/>
          <w:lang w:eastAsia="fr-FR"/>
          <w14:ligatures w14:val="none"/>
        </w:rPr>
        <w:t>2025</w:t>
      </w:r>
    </w:p>
    <w:sectPr w:rsidR="00B7716D" w:rsidRPr="003E71B3">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8F33" w14:textId="77777777" w:rsidR="00D6433C" w:rsidRDefault="00D6433C" w:rsidP="00713107">
      <w:pPr>
        <w:spacing w:after="0" w:line="240" w:lineRule="auto"/>
      </w:pPr>
      <w:r>
        <w:separator/>
      </w:r>
    </w:p>
  </w:endnote>
  <w:endnote w:type="continuationSeparator" w:id="0">
    <w:p w14:paraId="7F4DF81C" w14:textId="77777777" w:rsidR="00D6433C" w:rsidRDefault="00D6433C" w:rsidP="0071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B8FE" w14:textId="024BDF01" w:rsidR="003E71B3" w:rsidRDefault="003E71B3" w:rsidP="003E71B3">
    <w:pPr>
      <w:pStyle w:val="Pieddepage"/>
      <w:jc w:val="center"/>
    </w:pPr>
    <w:r>
      <w:t>Analyse économique DLA – Analyse systémique en Grand Est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96DE" w14:textId="77777777" w:rsidR="00D6433C" w:rsidRDefault="00D6433C" w:rsidP="00713107">
      <w:pPr>
        <w:spacing w:after="0" w:line="240" w:lineRule="auto"/>
      </w:pPr>
      <w:r>
        <w:separator/>
      </w:r>
    </w:p>
  </w:footnote>
  <w:footnote w:type="continuationSeparator" w:id="0">
    <w:p w14:paraId="67BEFAE4" w14:textId="77777777" w:rsidR="00D6433C" w:rsidRDefault="00D6433C" w:rsidP="00713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536BF" w14:textId="49838DC6" w:rsidR="00713107" w:rsidRDefault="00713107" w:rsidP="00713107">
    <w:pPr>
      <w:pStyle w:val="En-tte"/>
      <w:jc w:val="right"/>
    </w:pPr>
    <w:r>
      <w:t>MO 06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AE1"/>
    <w:multiLevelType w:val="hybridMultilevel"/>
    <w:tmpl w:val="D696F808"/>
    <w:lvl w:ilvl="0" w:tplc="E6E6A76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E21CD3"/>
    <w:multiLevelType w:val="multilevel"/>
    <w:tmpl w:val="44DAE6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8059E6"/>
    <w:multiLevelType w:val="hybridMultilevel"/>
    <w:tmpl w:val="B98CA3A0"/>
    <w:lvl w:ilvl="0" w:tplc="03E85934">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04963C6"/>
    <w:multiLevelType w:val="hybridMultilevel"/>
    <w:tmpl w:val="10AE3F22"/>
    <w:lvl w:ilvl="0" w:tplc="51EE7ABE">
      <w:start w:val="1"/>
      <w:numFmt w:val="decimal"/>
      <w:lvlText w:val="%1."/>
      <w:lvlJc w:val="left"/>
      <w:pPr>
        <w:ind w:left="360" w:hanging="360"/>
      </w:pPr>
      <w:rPr>
        <w:rFonts w:hint="default"/>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B3F0538"/>
    <w:multiLevelType w:val="hybridMultilevel"/>
    <w:tmpl w:val="86B2BED8"/>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23920413">
    <w:abstractNumId w:val="1"/>
  </w:num>
  <w:num w:numId="2" w16cid:durableId="800150246">
    <w:abstractNumId w:val="4"/>
  </w:num>
  <w:num w:numId="3" w16cid:durableId="1750695346">
    <w:abstractNumId w:val="0"/>
  </w:num>
  <w:num w:numId="4" w16cid:durableId="836698153">
    <w:abstractNumId w:val="3"/>
  </w:num>
  <w:num w:numId="5" w16cid:durableId="2923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D"/>
    <w:rsid w:val="00050334"/>
    <w:rsid w:val="00205706"/>
    <w:rsid w:val="003500FB"/>
    <w:rsid w:val="003862C5"/>
    <w:rsid w:val="003D4FC3"/>
    <w:rsid w:val="003E71B3"/>
    <w:rsid w:val="00436FEB"/>
    <w:rsid w:val="004462FA"/>
    <w:rsid w:val="004D0B28"/>
    <w:rsid w:val="005C716E"/>
    <w:rsid w:val="00681FC0"/>
    <w:rsid w:val="007047D7"/>
    <w:rsid w:val="00713107"/>
    <w:rsid w:val="007767E2"/>
    <w:rsid w:val="008726D7"/>
    <w:rsid w:val="0088092B"/>
    <w:rsid w:val="009126F7"/>
    <w:rsid w:val="009706FD"/>
    <w:rsid w:val="00A457B1"/>
    <w:rsid w:val="00B03329"/>
    <w:rsid w:val="00B204A8"/>
    <w:rsid w:val="00B401B0"/>
    <w:rsid w:val="00B7716D"/>
    <w:rsid w:val="00B8494C"/>
    <w:rsid w:val="00B944FA"/>
    <w:rsid w:val="00BA23FE"/>
    <w:rsid w:val="00CC6709"/>
    <w:rsid w:val="00D6433C"/>
    <w:rsid w:val="00EB1DFB"/>
    <w:rsid w:val="00F4728C"/>
    <w:rsid w:val="00F87D27"/>
    <w:rsid w:val="00FE000D"/>
    <w:rsid w:val="00FF4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1A31"/>
  <w15:chartTrackingRefBased/>
  <w15:docId w15:val="{4FD38963-C6E5-4A0C-8B80-AA374599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6D"/>
  </w:style>
  <w:style w:type="paragraph" w:styleId="Titre1">
    <w:name w:val="heading 1"/>
    <w:basedOn w:val="Normal"/>
    <w:next w:val="Normal"/>
    <w:link w:val="Titre1Car"/>
    <w:uiPriority w:val="9"/>
    <w:qFormat/>
    <w:rsid w:val="00B7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71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71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71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71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71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71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71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1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71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71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71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71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71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71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71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716D"/>
    <w:rPr>
      <w:rFonts w:eastAsiaTheme="majorEastAsia" w:cstheme="majorBidi"/>
      <w:color w:val="272727" w:themeColor="text1" w:themeTint="D8"/>
    </w:rPr>
  </w:style>
  <w:style w:type="paragraph" w:styleId="Titre">
    <w:name w:val="Title"/>
    <w:basedOn w:val="Normal"/>
    <w:next w:val="Normal"/>
    <w:link w:val="TitreCar"/>
    <w:uiPriority w:val="10"/>
    <w:qFormat/>
    <w:rsid w:val="00B7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71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71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71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716D"/>
    <w:pPr>
      <w:spacing w:before="160"/>
      <w:jc w:val="center"/>
    </w:pPr>
    <w:rPr>
      <w:i/>
      <w:iCs/>
      <w:color w:val="404040" w:themeColor="text1" w:themeTint="BF"/>
    </w:rPr>
  </w:style>
  <w:style w:type="character" w:customStyle="1" w:styleId="CitationCar">
    <w:name w:val="Citation Car"/>
    <w:basedOn w:val="Policepardfaut"/>
    <w:link w:val="Citation"/>
    <w:uiPriority w:val="29"/>
    <w:rsid w:val="00B7716D"/>
    <w:rPr>
      <w:i/>
      <w:iCs/>
      <w:color w:val="404040" w:themeColor="text1" w:themeTint="BF"/>
    </w:rPr>
  </w:style>
  <w:style w:type="paragraph" w:styleId="Paragraphedeliste">
    <w:name w:val="List Paragraph"/>
    <w:basedOn w:val="Normal"/>
    <w:uiPriority w:val="34"/>
    <w:qFormat/>
    <w:rsid w:val="00B7716D"/>
    <w:pPr>
      <w:ind w:left="720"/>
      <w:contextualSpacing/>
    </w:pPr>
  </w:style>
  <w:style w:type="character" w:styleId="Accentuationintense">
    <w:name w:val="Intense Emphasis"/>
    <w:basedOn w:val="Policepardfaut"/>
    <w:uiPriority w:val="21"/>
    <w:qFormat/>
    <w:rsid w:val="00B7716D"/>
    <w:rPr>
      <w:i/>
      <w:iCs/>
      <w:color w:val="0F4761" w:themeColor="accent1" w:themeShade="BF"/>
    </w:rPr>
  </w:style>
  <w:style w:type="paragraph" w:styleId="Citationintense">
    <w:name w:val="Intense Quote"/>
    <w:basedOn w:val="Normal"/>
    <w:next w:val="Normal"/>
    <w:link w:val="CitationintenseCar"/>
    <w:uiPriority w:val="30"/>
    <w:qFormat/>
    <w:rsid w:val="00B7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716D"/>
    <w:rPr>
      <w:i/>
      <w:iCs/>
      <w:color w:val="0F4761" w:themeColor="accent1" w:themeShade="BF"/>
    </w:rPr>
  </w:style>
  <w:style w:type="character" w:styleId="Rfrenceintense">
    <w:name w:val="Intense Reference"/>
    <w:basedOn w:val="Policepardfaut"/>
    <w:uiPriority w:val="32"/>
    <w:qFormat/>
    <w:rsid w:val="00B7716D"/>
    <w:rPr>
      <w:b/>
      <w:bCs/>
      <w:smallCaps/>
      <w:color w:val="0F4761" w:themeColor="accent1" w:themeShade="BF"/>
      <w:spacing w:val="5"/>
    </w:rPr>
  </w:style>
  <w:style w:type="table" w:styleId="Grilledutableau">
    <w:name w:val="Table Grid"/>
    <w:basedOn w:val="TableauNormal"/>
    <w:uiPriority w:val="39"/>
    <w:rsid w:val="00B7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7716D"/>
    <w:rPr>
      <w:b/>
      <w:bCs/>
    </w:rPr>
  </w:style>
  <w:style w:type="paragraph" w:styleId="En-tte">
    <w:name w:val="header"/>
    <w:basedOn w:val="Normal"/>
    <w:link w:val="En-tteCar"/>
    <w:uiPriority w:val="99"/>
    <w:unhideWhenUsed/>
    <w:rsid w:val="00713107"/>
    <w:pPr>
      <w:tabs>
        <w:tab w:val="center" w:pos="4536"/>
        <w:tab w:val="right" w:pos="9072"/>
      </w:tabs>
      <w:spacing w:after="0" w:line="240" w:lineRule="auto"/>
    </w:pPr>
  </w:style>
  <w:style w:type="character" w:customStyle="1" w:styleId="En-tteCar">
    <w:name w:val="En-tête Car"/>
    <w:basedOn w:val="Policepardfaut"/>
    <w:link w:val="En-tte"/>
    <w:uiPriority w:val="99"/>
    <w:rsid w:val="00713107"/>
  </w:style>
  <w:style w:type="paragraph" w:styleId="Pieddepage">
    <w:name w:val="footer"/>
    <w:basedOn w:val="Normal"/>
    <w:link w:val="PieddepageCar"/>
    <w:uiPriority w:val="99"/>
    <w:unhideWhenUsed/>
    <w:rsid w:val="007131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965798">
      <w:bodyDiv w:val="1"/>
      <w:marLeft w:val="0"/>
      <w:marRight w:val="0"/>
      <w:marTop w:val="0"/>
      <w:marBottom w:val="0"/>
      <w:divBdr>
        <w:top w:val="none" w:sz="0" w:space="0" w:color="auto"/>
        <w:left w:val="none" w:sz="0" w:space="0" w:color="auto"/>
        <w:bottom w:val="none" w:sz="0" w:space="0" w:color="auto"/>
        <w:right w:val="none" w:sz="0" w:space="0" w:color="auto"/>
      </w:divBdr>
    </w:div>
    <w:div w:id="988704040">
      <w:bodyDiv w:val="1"/>
      <w:marLeft w:val="0"/>
      <w:marRight w:val="0"/>
      <w:marTop w:val="0"/>
      <w:marBottom w:val="0"/>
      <w:divBdr>
        <w:top w:val="none" w:sz="0" w:space="0" w:color="auto"/>
        <w:left w:val="none" w:sz="0" w:space="0" w:color="auto"/>
        <w:bottom w:val="none" w:sz="0" w:space="0" w:color="auto"/>
        <w:right w:val="none" w:sz="0" w:space="0" w:color="auto"/>
      </w:divBdr>
    </w:div>
    <w:div w:id="14427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1655</Words>
  <Characters>9104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22</cp:revision>
  <dcterms:created xsi:type="dcterms:W3CDTF">2025-06-20T04:30:00Z</dcterms:created>
  <dcterms:modified xsi:type="dcterms:W3CDTF">2025-06-25T10:21:00Z</dcterms:modified>
</cp:coreProperties>
</file>